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rPr>
          <w:rFonts w:hint="eastAsia"/>
          <w:lang w:val="en-US" w:eastAsia="zh-Hans"/>
        </w:rPr>
      </w:pPr>
      <w:r>
        <w:br w:type="textWrapping"/>
      </w:r>
    </w:p>
    <w:p>
      <w:pPr>
        <w:pStyle w:val="12"/>
      </w:pPr>
    </w:p>
    <w:p>
      <w:pPr>
        <w:pStyle w:val="12"/>
      </w:pPr>
    </w:p>
    <w:p>
      <w:pPr>
        <w:pStyle w:val="12"/>
        <w:spacing w:line="480" w:lineRule="auto"/>
        <w:jc w:val="center"/>
        <w:outlineLvl w:val="0"/>
        <w:rPr>
          <w:b/>
          <w:sz w:val="56"/>
          <w:szCs w:val="22"/>
        </w:rPr>
      </w:pPr>
      <w:r>
        <w:rPr>
          <w:rFonts w:hint="eastAsia"/>
          <w:b/>
          <w:sz w:val="56"/>
          <w:szCs w:val="22"/>
          <w:lang w:eastAsia="zh-CN"/>
        </w:rPr>
        <w:t>寿宁县下党乡下党村智慧农业产业园改造提升</w:t>
      </w:r>
      <w:r>
        <w:rPr>
          <w:rFonts w:hint="eastAsia"/>
          <w:b/>
          <w:sz w:val="56"/>
          <w:szCs w:val="22"/>
          <w:lang w:val="en-US" w:eastAsia="zh-CN"/>
        </w:rPr>
        <w:t>工艺设备系统</w:t>
      </w:r>
      <w:r>
        <w:rPr>
          <w:rFonts w:hint="eastAsia"/>
          <w:b/>
          <w:sz w:val="56"/>
          <w:szCs w:val="22"/>
          <w:lang w:eastAsia="zh-CN"/>
        </w:rPr>
        <w:t>采购项目</w:t>
      </w:r>
      <w:r>
        <w:rPr>
          <w:b/>
          <w:sz w:val="56"/>
          <w:szCs w:val="22"/>
        </w:rPr>
        <w:t>公开招标文件</w:t>
      </w:r>
    </w:p>
    <w:p>
      <w:pPr>
        <w:pStyle w:val="12"/>
        <w:spacing w:line="480" w:lineRule="auto"/>
        <w:jc w:val="center"/>
        <w:outlineLvl w:val="0"/>
        <w:rPr>
          <w:b/>
          <w:sz w:val="56"/>
          <w:szCs w:val="22"/>
        </w:rPr>
      </w:pPr>
    </w:p>
    <w:p>
      <w:pPr>
        <w:pStyle w:val="12"/>
        <w:spacing w:line="480" w:lineRule="auto"/>
        <w:jc w:val="center"/>
        <w:outlineLvl w:val="2"/>
        <w:rPr>
          <w:sz w:val="22"/>
          <w:szCs w:val="22"/>
        </w:rPr>
      </w:pPr>
      <w:r>
        <w:rPr>
          <w:b/>
          <w:sz w:val="36"/>
          <w:szCs w:val="22"/>
        </w:rPr>
        <w:t>项目名称：</w:t>
      </w:r>
      <w:r>
        <w:rPr>
          <w:rFonts w:hint="eastAsia"/>
          <w:b/>
          <w:sz w:val="36"/>
          <w:szCs w:val="22"/>
          <w:lang w:eastAsia="zh-CN"/>
        </w:rPr>
        <w:t>寿宁县下党乡下党村智慧农业产业园改造提升工艺设备系统采购项目</w:t>
      </w:r>
    </w:p>
    <w:p>
      <w:pPr>
        <w:pStyle w:val="12"/>
        <w:spacing w:line="480" w:lineRule="auto"/>
        <w:ind w:firstLine="723" w:firstLineChars="200"/>
        <w:jc w:val="both"/>
        <w:outlineLvl w:val="2"/>
        <w:rPr>
          <w:rFonts w:hint="eastAsia"/>
          <w:b/>
          <w:sz w:val="36"/>
          <w:szCs w:val="22"/>
          <w:lang w:val="en-US" w:eastAsia="zh-CN"/>
        </w:rPr>
      </w:pPr>
      <w:r>
        <w:rPr>
          <w:b/>
          <w:sz w:val="36"/>
          <w:szCs w:val="22"/>
        </w:rPr>
        <w:t>备案编号：</w:t>
      </w:r>
      <w:r>
        <w:rPr>
          <w:rFonts w:hint="eastAsia"/>
          <w:b/>
          <w:sz w:val="36"/>
          <w:szCs w:val="22"/>
          <w:lang w:val="en-US" w:eastAsia="zh-CN"/>
        </w:rPr>
        <w:t>/</w:t>
      </w:r>
    </w:p>
    <w:p>
      <w:pPr>
        <w:pStyle w:val="12"/>
        <w:spacing w:line="480" w:lineRule="auto"/>
        <w:ind w:firstLine="723" w:firstLineChars="200"/>
        <w:jc w:val="both"/>
        <w:outlineLvl w:val="2"/>
        <w:rPr>
          <w:rFonts w:hint="eastAsia"/>
          <w:b/>
          <w:sz w:val="36"/>
          <w:szCs w:val="22"/>
          <w:lang w:val="en-US" w:eastAsia="zh-CN"/>
        </w:rPr>
      </w:pPr>
    </w:p>
    <w:p>
      <w:pPr>
        <w:pStyle w:val="12"/>
        <w:spacing w:line="480" w:lineRule="auto"/>
        <w:ind w:firstLine="723" w:firstLineChars="200"/>
        <w:jc w:val="both"/>
        <w:outlineLvl w:val="2"/>
        <w:rPr>
          <w:rFonts w:hint="eastAsia"/>
          <w:b/>
          <w:sz w:val="36"/>
          <w:szCs w:val="22"/>
          <w:lang w:val="en-US" w:eastAsia="zh-CN"/>
        </w:rPr>
      </w:pPr>
      <w:r>
        <w:rPr>
          <w:b/>
          <w:sz w:val="36"/>
          <w:szCs w:val="22"/>
        </w:rPr>
        <w:t>项目编号：</w:t>
      </w:r>
      <w:r>
        <w:rPr>
          <w:rFonts w:hint="eastAsia"/>
          <w:b/>
          <w:sz w:val="36"/>
          <w:szCs w:val="22"/>
          <w:lang w:eastAsia="zh-CN"/>
        </w:rPr>
        <w:t>ZHD【2023】NDCG-029</w:t>
      </w:r>
    </w:p>
    <w:p>
      <w:pPr>
        <w:pStyle w:val="12"/>
        <w:spacing w:line="480" w:lineRule="auto"/>
        <w:ind w:firstLine="723" w:firstLineChars="200"/>
        <w:jc w:val="both"/>
        <w:outlineLvl w:val="2"/>
        <w:rPr>
          <w:rFonts w:hint="eastAsia"/>
          <w:b/>
          <w:sz w:val="36"/>
          <w:szCs w:val="22"/>
          <w:lang w:val="en-US" w:eastAsia="zh-CN"/>
        </w:rPr>
      </w:pPr>
    </w:p>
    <w:p>
      <w:pPr>
        <w:pStyle w:val="12"/>
        <w:spacing w:line="480" w:lineRule="auto"/>
        <w:jc w:val="center"/>
        <w:outlineLvl w:val="2"/>
        <w:rPr>
          <w:rFonts w:hint="eastAsia"/>
          <w:b/>
          <w:sz w:val="36"/>
          <w:szCs w:val="22"/>
          <w:lang w:eastAsia="zh-CN"/>
        </w:rPr>
      </w:pPr>
      <w:r>
        <w:rPr>
          <w:b/>
          <w:sz w:val="36"/>
          <w:szCs w:val="22"/>
        </w:rPr>
        <w:t>采购人：</w:t>
      </w:r>
      <w:r>
        <w:rPr>
          <w:rFonts w:hint="eastAsia"/>
          <w:b/>
          <w:sz w:val="36"/>
          <w:szCs w:val="22"/>
          <w:lang w:eastAsia="zh-CN"/>
        </w:rPr>
        <w:t>福建钰超建设工程有限公司</w:t>
      </w:r>
    </w:p>
    <w:p>
      <w:pPr>
        <w:pStyle w:val="12"/>
        <w:spacing w:line="480" w:lineRule="auto"/>
        <w:jc w:val="center"/>
        <w:outlineLvl w:val="2"/>
        <w:rPr>
          <w:rFonts w:hint="eastAsia"/>
          <w:b/>
          <w:sz w:val="36"/>
          <w:szCs w:val="22"/>
          <w:lang w:eastAsia="zh-CN"/>
        </w:rPr>
      </w:pPr>
    </w:p>
    <w:p>
      <w:pPr>
        <w:pStyle w:val="12"/>
        <w:spacing w:line="480" w:lineRule="auto"/>
        <w:jc w:val="center"/>
        <w:outlineLvl w:val="2"/>
        <w:rPr>
          <w:rFonts w:hint="eastAsia"/>
          <w:b/>
          <w:sz w:val="36"/>
          <w:szCs w:val="22"/>
          <w:lang w:eastAsia="zh-CN"/>
        </w:rPr>
      </w:pPr>
      <w:r>
        <w:rPr>
          <w:rFonts w:hint="eastAsia"/>
          <w:b/>
          <w:sz w:val="36"/>
          <w:szCs w:val="22"/>
          <w:lang w:val="en-US" w:eastAsia="zh-CN"/>
        </w:rPr>
        <w:t xml:space="preserve"> </w:t>
      </w:r>
      <w:r>
        <w:rPr>
          <w:b/>
          <w:sz w:val="36"/>
          <w:szCs w:val="22"/>
        </w:rPr>
        <w:t>代理机构：</w:t>
      </w:r>
      <w:r>
        <w:rPr>
          <w:rFonts w:hint="eastAsia"/>
          <w:b/>
          <w:sz w:val="36"/>
          <w:szCs w:val="22"/>
          <w:lang w:eastAsia="zh-CN"/>
        </w:rPr>
        <w:t>福建中恒达建设项目管理有限公司</w:t>
      </w:r>
    </w:p>
    <w:p>
      <w:pPr>
        <w:pStyle w:val="12"/>
        <w:spacing w:line="480" w:lineRule="auto"/>
        <w:jc w:val="center"/>
        <w:outlineLvl w:val="2"/>
        <w:rPr>
          <w:rFonts w:hint="eastAsia"/>
          <w:b/>
          <w:sz w:val="36"/>
          <w:szCs w:val="22"/>
          <w:lang w:eastAsia="zh-CN"/>
        </w:rPr>
      </w:pPr>
    </w:p>
    <w:p>
      <w:pPr>
        <w:pStyle w:val="12"/>
        <w:spacing w:line="480" w:lineRule="auto"/>
        <w:jc w:val="center"/>
        <w:outlineLvl w:val="2"/>
        <w:rPr>
          <w:sz w:val="22"/>
          <w:szCs w:val="22"/>
        </w:rPr>
      </w:pPr>
      <w:r>
        <w:rPr>
          <w:b/>
          <w:sz w:val="36"/>
          <w:szCs w:val="22"/>
        </w:rPr>
        <w:t>编制时间：2023年</w:t>
      </w:r>
      <w:r>
        <w:rPr>
          <w:rFonts w:hint="eastAsia"/>
          <w:b/>
          <w:sz w:val="36"/>
          <w:szCs w:val="22"/>
          <w:lang w:val="en-US" w:eastAsia="zh-CN"/>
        </w:rPr>
        <w:t>12</w:t>
      </w:r>
      <w:r>
        <w:rPr>
          <w:b/>
          <w:sz w:val="36"/>
          <w:szCs w:val="22"/>
        </w:rPr>
        <w:t>月</w:t>
      </w:r>
    </w:p>
    <w:p>
      <w:pPr>
        <w:pStyle w:val="12"/>
        <w:spacing w:line="480" w:lineRule="auto"/>
        <w:rPr>
          <w:sz w:val="22"/>
          <w:szCs w:val="22"/>
        </w:rPr>
      </w:pPr>
    </w:p>
    <w:p>
      <w:pPr>
        <w:pStyle w:val="12"/>
        <w:spacing w:line="480" w:lineRule="auto"/>
        <w:rPr>
          <w:sz w:val="22"/>
          <w:szCs w:val="22"/>
        </w:rPr>
      </w:pPr>
    </w:p>
    <w:p>
      <w:pPr>
        <w:pStyle w:val="12"/>
      </w:pPr>
    </w:p>
    <w:p>
      <w:pPr>
        <w:pStyle w:val="12"/>
      </w:pPr>
    </w:p>
    <w:p>
      <w:pPr>
        <w:pStyle w:val="12"/>
      </w:pPr>
      <w:r>
        <w:t xml:space="preserve"> </w:t>
      </w:r>
    </w:p>
    <w:p>
      <w:pPr>
        <w:pStyle w:val="12"/>
        <w:jc w:val="center"/>
        <w:outlineLvl w:val="1"/>
      </w:pPr>
      <w:r>
        <w:rPr>
          <w:b/>
          <w:sz w:val="36"/>
        </w:rPr>
        <w:t>第一章 投标邀请</w:t>
      </w:r>
    </w:p>
    <w:p>
      <w:pPr>
        <w:pStyle w:val="12"/>
        <w:ind w:firstLine="480"/>
        <w:jc w:val="both"/>
      </w:pPr>
      <w:r>
        <w:rPr>
          <w:rFonts w:hint="eastAsia"/>
          <w:lang w:eastAsia="zh-CN"/>
        </w:rPr>
        <w:t>福建中恒达建设项目管理有限公司</w:t>
      </w:r>
      <w:r>
        <w:t>采用公开招标方式组织</w:t>
      </w:r>
      <w:bookmarkStart w:id="0" w:name="_GoBack"/>
      <w:r>
        <w:rPr>
          <w:rFonts w:hint="eastAsia"/>
          <w:lang w:eastAsia="zh-CN"/>
        </w:rPr>
        <w:t>寿宁县下党乡下党村智慧农业产业园改造提升工艺设备系统采购项目</w:t>
      </w:r>
      <w:bookmarkEnd w:id="0"/>
      <w:r>
        <w:t>（以下简称：“本项目”）的政府采购活动，现邀请供应商参加投标。</w:t>
      </w:r>
    </w:p>
    <w:p>
      <w:pPr>
        <w:pStyle w:val="12"/>
        <w:ind w:firstLine="480"/>
        <w:jc w:val="left"/>
        <w:outlineLvl w:val="2"/>
        <w:rPr>
          <w:rFonts w:hint="eastAsia" w:eastAsiaTheme="minorEastAsia"/>
          <w:lang w:eastAsia="zh-CN"/>
        </w:rPr>
      </w:pPr>
      <w:r>
        <w:rPr>
          <w:b/>
          <w:sz w:val="28"/>
        </w:rPr>
        <w:t>1、备案编号：</w:t>
      </w:r>
      <w:r>
        <w:rPr>
          <w:rFonts w:hint="eastAsia"/>
          <w:b/>
          <w:sz w:val="28"/>
          <w:lang w:val="en-US" w:eastAsia="zh-CN"/>
        </w:rPr>
        <w:t>/</w:t>
      </w:r>
    </w:p>
    <w:p>
      <w:pPr>
        <w:pStyle w:val="12"/>
        <w:ind w:firstLine="480"/>
        <w:jc w:val="left"/>
        <w:outlineLvl w:val="2"/>
        <w:rPr>
          <w:rFonts w:hint="eastAsia" w:eastAsiaTheme="minorEastAsia"/>
          <w:lang w:eastAsia="zh-CN"/>
        </w:rPr>
      </w:pPr>
      <w:r>
        <w:rPr>
          <w:b/>
          <w:sz w:val="28"/>
        </w:rPr>
        <w:t>2、项目编号：</w:t>
      </w:r>
      <w:r>
        <w:rPr>
          <w:rFonts w:hint="eastAsia"/>
          <w:b/>
          <w:sz w:val="36"/>
          <w:szCs w:val="22"/>
          <w:lang w:eastAsia="zh-CN"/>
        </w:rPr>
        <w:t>ZHD【2023】NDCG-029</w:t>
      </w:r>
    </w:p>
    <w:p>
      <w:pPr>
        <w:pStyle w:val="12"/>
        <w:ind w:firstLine="480"/>
        <w:jc w:val="both"/>
        <w:outlineLvl w:val="2"/>
      </w:pPr>
      <w:r>
        <w:rPr>
          <w:b/>
          <w:sz w:val="28"/>
        </w:rPr>
        <w:t>3、预算金额、最高限价：详见《采购标的一览表》。</w:t>
      </w:r>
    </w:p>
    <w:p>
      <w:pPr>
        <w:pStyle w:val="12"/>
        <w:ind w:firstLine="480"/>
        <w:jc w:val="left"/>
        <w:outlineLvl w:val="2"/>
      </w:pPr>
      <w:r>
        <w:rPr>
          <w:b/>
          <w:sz w:val="28"/>
        </w:rPr>
        <w:t>4、招标内容及要求：详见《采购标的一览表》及招标文件第五章。</w:t>
      </w:r>
    </w:p>
    <w:p>
      <w:pPr>
        <w:pStyle w:val="12"/>
        <w:ind w:firstLine="480"/>
        <w:jc w:val="left"/>
        <w:outlineLvl w:val="2"/>
      </w:pPr>
      <w:r>
        <w:rPr>
          <w:b/>
          <w:sz w:val="28"/>
        </w:rPr>
        <w:t>5、需要落实的政府采购政策</w:t>
      </w:r>
    </w:p>
    <w:p>
      <w:pPr>
        <w:pStyle w:val="12"/>
        <w:ind w:firstLine="960"/>
        <w:jc w:val="left"/>
      </w:pPr>
      <w:r>
        <w:t>需要落实的政府采购政策：需要落实的政府采购政策：进口产品，适用于（无）。节能产品，适用于（所有合同包），按照（财政部发布的最新一期节能产品政府采购品目清单）执行。环境标志产品，适用于（所有合同包），按照（财政部发布的最新一期环境标志产品政府采购品目清单）执行。信息安全产品，适用于（所有合同包）。小型、微型企业符合财政部、工信部文件（财库〔2020〕46号），适用于（所有合同包）。监狱企业符合财政部、司法部文件（财库〔2014〕68号），适用于（所有合同包）。促进残疾人就业符合财政部、民政部、中国残疾人联合会文件(财库〔2017〕141号)，适用于（所有合同包）。信用记录，适用于（所有合同包），按照下列规定执行：（1）投标人应在（填写招标文件要求的截止时点）前分别通过“信用中国”网站（www.creditchina.gov.cn）、中国政府采购网（www.ccgp.gov.cn）查询并打印相应的信用记录（以下简称：“投标人提供的查询结果”），投标人提供的查询结果应为其通过上述网站获取的信用信息查询结果原始页面的打印件（或截图）。（2）查询结果的审查：①由资格审查小组通过上述网站查询并打印投标人信用记录（以下简称：“资格审查小组的查询结果”）。②投标人提供的查询结果与资格审查小组的查询结果不一致的，以资格审查小组的查询结果为准。③因上述网站原因导致资格审查小组无法查询投标人信用记录的（资格审查小组应将通过上述网站查询投标人信用记录时的原始页面打印后随采购文件一并存档），以投标人提供的查询结果为准。④查询结果存在投标人应被拒绝参与政府采购活动相关信息的，其资格审查不合格。</w:t>
      </w:r>
    </w:p>
    <w:p>
      <w:pPr>
        <w:pStyle w:val="12"/>
        <w:jc w:val="left"/>
      </w:pPr>
      <w:r>
        <w:t>促进中小企业发展的相关政策：</w:t>
      </w:r>
    </w:p>
    <w:p>
      <w:pPr>
        <w:pStyle w:val="12"/>
        <w:jc w:val="left"/>
      </w:pPr>
      <w:r>
        <w:t>采购包1：不专门面向中小企业采购</w:t>
      </w:r>
    </w:p>
    <w:p>
      <w:pPr>
        <w:pStyle w:val="12"/>
        <w:ind w:firstLine="480"/>
        <w:jc w:val="both"/>
        <w:outlineLvl w:val="2"/>
      </w:pPr>
      <w:r>
        <w:rPr>
          <w:b/>
          <w:sz w:val="28"/>
        </w:rPr>
        <w:t>6、投标人的资格要求</w:t>
      </w:r>
    </w:p>
    <w:p>
      <w:pPr>
        <w:pStyle w:val="12"/>
        <w:ind w:firstLine="960"/>
        <w:jc w:val="both"/>
      </w:pPr>
      <w:r>
        <w:t>6.1法定条件：符合政府采购法第二十二条第一款规定的条件。</w:t>
      </w:r>
    </w:p>
    <w:p>
      <w:pPr>
        <w:pStyle w:val="12"/>
        <w:ind w:firstLine="960"/>
        <w:jc w:val="both"/>
      </w:pPr>
      <w:r>
        <w:t>6.2特定条件：</w:t>
      </w:r>
    </w:p>
    <w:p>
      <w:pPr>
        <w:pStyle w:val="12"/>
        <w:jc w:val="left"/>
        <w:rPr>
          <w:rFonts w:hint="eastAsia" w:eastAsiaTheme="minorEastAsia"/>
          <w:lang w:val="en-US" w:eastAsia="zh-CN"/>
        </w:rPr>
      </w:pPr>
      <w:r>
        <w:t>采购包1：</w:t>
      </w:r>
      <w:r>
        <w:rPr>
          <w:rFonts w:hint="eastAsia"/>
          <w:lang w:val="en-US" w:eastAsia="zh-CN"/>
        </w:rPr>
        <w:t>无</w:t>
      </w:r>
    </w:p>
    <w:p>
      <w:pPr>
        <w:pStyle w:val="12"/>
        <w:ind w:firstLine="960"/>
        <w:jc w:val="both"/>
      </w:pPr>
      <w:r>
        <w:t>6.3是否接受联合体投标：</w:t>
      </w:r>
    </w:p>
    <w:p>
      <w:pPr>
        <w:pStyle w:val="12"/>
        <w:jc w:val="both"/>
      </w:pPr>
      <w:r>
        <w:t>采购包1：不接受</w:t>
      </w:r>
    </w:p>
    <w:p>
      <w:pPr>
        <w:pStyle w:val="12"/>
        <w:ind w:firstLine="480"/>
        <w:jc w:val="both"/>
      </w:pPr>
      <w:r>
        <w:rPr>
          <w:b/>
        </w:rPr>
        <w:t>※根据上述资格要求，电子投标文件中应提交的“投标人的资格及资信证明文件”详见招标文件第四章。</w:t>
      </w:r>
    </w:p>
    <w:p>
      <w:pPr>
        <w:pStyle w:val="12"/>
        <w:jc w:val="both"/>
        <w:rPr>
          <w:b/>
        </w:rPr>
      </w:pPr>
      <w:r>
        <w:rPr>
          <w:rFonts w:hint="eastAsia"/>
          <w:b/>
          <w:lang w:val="en-US" w:eastAsia="zh-CN"/>
        </w:rPr>
        <w:t>7</w:t>
      </w:r>
      <w:r>
        <w:rPr>
          <w:rFonts w:hint="eastAsia"/>
          <w:b/>
        </w:rPr>
        <w:t>、招标文件的获取</w:t>
      </w:r>
    </w:p>
    <w:p>
      <w:pPr>
        <w:pStyle w:val="12"/>
        <w:jc w:val="both"/>
        <w:rPr>
          <w:b/>
        </w:rPr>
      </w:pPr>
      <w:r>
        <w:rPr>
          <w:rFonts w:hint="eastAsia"/>
          <w:b/>
          <w:lang w:val="en-US" w:eastAsia="zh-CN"/>
        </w:rPr>
        <w:t>7</w:t>
      </w:r>
      <w:r>
        <w:rPr>
          <w:rFonts w:hint="eastAsia"/>
          <w:b/>
        </w:rPr>
        <w:t>.1、招标文件购买时间：</w:t>
      </w:r>
      <w:r>
        <w:rPr>
          <w:rFonts w:hint="eastAsia"/>
          <w:b/>
          <w:lang w:eastAsia="zh-CN"/>
        </w:rPr>
        <w:t>2023</w:t>
      </w:r>
      <w:r>
        <w:rPr>
          <w:rFonts w:hint="eastAsia"/>
          <w:b/>
        </w:rPr>
        <w:t>年</w:t>
      </w:r>
      <w:r>
        <w:rPr>
          <w:rFonts w:hint="eastAsia"/>
          <w:b/>
          <w:lang w:val="en-US" w:eastAsia="zh-CN"/>
        </w:rPr>
        <w:t xml:space="preserve">   </w:t>
      </w:r>
      <w:r>
        <w:rPr>
          <w:rFonts w:hint="eastAsia"/>
          <w:b/>
        </w:rPr>
        <w:t>月</w:t>
      </w:r>
      <w:r>
        <w:rPr>
          <w:rFonts w:hint="eastAsia"/>
          <w:b/>
          <w:lang w:val="en-US" w:eastAsia="zh-CN"/>
        </w:rPr>
        <w:t xml:space="preserve">    </w:t>
      </w:r>
      <w:r>
        <w:rPr>
          <w:rFonts w:hint="eastAsia"/>
          <w:b/>
        </w:rPr>
        <w:t>日至</w:t>
      </w:r>
      <w:r>
        <w:rPr>
          <w:rFonts w:hint="eastAsia"/>
          <w:b/>
          <w:lang w:eastAsia="zh-CN"/>
        </w:rPr>
        <w:t>2023</w:t>
      </w:r>
      <w:r>
        <w:rPr>
          <w:rFonts w:hint="eastAsia"/>
          <w:b/>
        </w:rPr>
        <w:t>年</w:t>
      </w:r>
      <w:r>
        <w:rPr>
          <w:rFonts w:hint="eastAsia"/>
          <w:b/>
          <w:lang w:val="en-US" w:eastAsia="zh-CN"/>
        </w:rPr>
        <w:t xml:space="preserve">  </w:t>
      </w:r>
      <w:r>
        <w:rPr>
          <w:rFonts w:hint="eastAsia"/>
          <w:b/>
        </w:rPr>
        <w:t>月</w:t>
      </w:r>
      <w:r>
        <w:rPr>
          <w:rFonts w:hint="eastAsia"/>
          <w:b/>
          <w:lang w:val="en-US" w:eastAsia="zh-CN"/>
        </w:rPr>
        <w:t xml:space="preserve">  </w:t>
      </w:r>
      <w:r>
        <w:rPr>
          <w:rFonts w:hint="eastAsia"/>
          <w:b/>
        </w:rPr>
        <w:t>日(节假日除外) 每天9:00～12:00时，15:00～17:00时 (北京时间，下同)；购买地点：</w:t>
      </w:r>
      <w:r>
        <w:rPr>
          <w:rFonts w:hint="eastAsia"/>
          <w:b/>
          <w:lang w:eastAsia="zh-CN"/>
        </w:rPr>
        <w:t>宁德市东侨经济开发区闽东中路28号(盈丰佳园)3幢1层107</w:t>
      </w:r>
      <w:r>
        <w:rPr>
          <w:rFonts w:hint="eastAsia"/>
          <w:b/>
        </w:rPr>
        <w:t>。</w:t>
      </w:r>
    </w:p>
    <w:p>
      <w:pPr>
        <w:pStyle w:val="12"/>
        <w:jc w:val="both"/>
        <w:rPr>
          <w:b/>
        </w:rPr>
      </w:pPr>
      <w:r>
        <w:rPr>
          <w:rFonts w:hint="eastAsia"/>
          <w:b/>
          <w:lang w:val="en-US" w:eastAsia="zh-CN"/>
        </w:rPr>
        <w:t>8</w:t>
      </w:r>
      <w:r>
        <w:rPr>
          <w:rFonts w:hint="eastAsia"/>
          <w:b/>
        </w:rPr>
        <w:t>、招标文件售价300元人民币（纸质文档或电子文档），若需邮寄另加50元／份。招标文件售后不退。</w:t>
      </w:r>
      <w:r>
        <w:rPr>
          <w:rFonts w:hint="eastAsia"/>
          <w:b/>
          <w:lang w:eastAsia="zh-CN"/>
        </w:rPr>
        <w:t>福建中恒达建设项目管理有限公司</w:t>
      </w:r>
      <w:r>
        <w:rPr>
          <w:rFonts w:hint="eastAsia"/>
          <w:b/>
        </w:rPr>
        <w:t>不对邮寄过程中可能发生的延误或丢失负责。未购买招标文件者的投标将被拒绝。</w:t>
      </w:r>
    </w:p>
    <w:p>
      <w:pPr>
        <w:pStyle w:val="12"/>
        <w:jc w:val="both"/>
        <w:rPr>
          <w:b/>
        </w:rPr>
      </w:pPr>
      <w:r>
        <w:rPr>
          <w:rFonts w:hint="eastAsia"/>
          <w:b/>
          <w:lang w:val="en-US" w:eastAsia="zh-CN"/>
        </w:rPr>
        <w:t>8</w:t>
      </w:r>
      <w:r>
        <w:rPr>
          <w:rFonts w:hint="eastAsia"/>
          <w:b/>
        </w:rPr>
        <w:t>.1、参加本项目投标的投标人办理报名手续，可任意选择以下（1）或（2）方式进行办理。</w:t>
      </w:r>
    </w:p>
    <w:p>
      <w:pPr>
        <w:pStyle w:val="12"/>
        <w:jc w:val="both"/>
        <w:rPr>
          <w:b/>
        </w:rPr>
      </w:pPr>
      <w:r>
        <w:rPr>
          <w:rFonts w:hint="eastAsia"/>
          <w:b/>
        </w:rPr>
        <w:t>（1）将《领取招标文件登记表》表格格式填写并加盖公章后于报名截止时间前送达至我司办理的；</w:t>
      </w:r>
    </w:p>
    <w:p>
      <w:pPr>
        <w:pStyle w:val="12"/>
        <w:jc w:val="both"/>
        <w:rPr>
          <w:b/>
        </w:rPr>
      </w:pPr>
      <w:r>
        <w:rPr>
          <w:rFonts w:hint="eastAsia"/>
          <w:b/>
        </w:rPr>
        <w:t>（2）异地投标人购买招标文件者须将《领取招标文件登记表》表格格式填写并加盖公章后于报名截止时间前彩色扫描发邮件至</w:t>
      </w:r>
      <w:r>
        <w:rPr>
          <w:rFonts w:hint="eastAsia"/>
          <w:b/>
          <w:lang w:val="en-US" w:eastAsia="zh-CN"/>
        </w:rPr>
        <w:t>ming</w:t>
      </w:r>
      <w:r>
        <w:rPr>
          <w:rFonts w:hint="eastAsia"/>
          <w:b/>
        </w:rPr>
        <w:t>8</w:t>
      </w:r>
      <w:r>
        <w:rPr>
          <w:rFonts w:hint="eastAsia"/>
          <w:b/>
          <w:lang w:val="en-US" w:eastAsia="zh-CN"/>
        </w:rPr>
        <w:t>71127</w:t>
      </w:r>
      <w:r>
        <w:rPr>
          <w:rFonts w:hint="eastAsia"/>
          <w:b/>
        </w:rPr>
        <w:t>@</w:t>
      </w:r>
      <w:r>
        <w:rPr>
          <w:rFonts w:hint="eastAsia"/>
          <w:b/>
          <w:lang w:val="en-US" w:eastAsia="zh-CN"/>
        </w:rPr>
        <w:t>126</w:t>
      </w:r>
      <w:r>
        <w:rPr>
          <w:rFonts w:hint="eastAsia"/>
          <w:b/>
        </w:rPr>
        <w:t>.com邮箱，扫描发邮件后致电我司前台办理相关报名登记手续。未办理报名手续的不予以书面变更通知及不受理投标。</w:t>
      </w:r>
    </w:p>
    <w:tbl>
      <w:tblPr>
        <w:tblStyle w:val="9"/>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720" w:type="dxa"/>
            <w:vAlign w:val="center"/>
          </w:tcPr>
          <w:p>
            <w:pPr>
              <w:pStyle w:val="12"/>
              <w:jc w:val="both"/>
              <w:rPr>
                <w:b/>
              </w:rPr>
            </w:pPr>
            <w:r>
              <w:rPr>
                <w:rFonts w:hint="eastAsia"/>
                <w:b/>
              </w:rPr>
              <w:t>领取招标文件登记表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720" w:type="dxa"/>
            <w:vAlign w:val="center"/>
          </w:tcPr>
          <w:p>
            <w:pPr>
              <w:pStyle w:val="12"/>
              <w:jc w:val="both"/>
              <w:rPr>
                <w:rFonts w:hint="eastAsia"/>
                <w:b/>
                <w:lang w:eastAsia="zh-CN"/>
              </w:rPr>
            </w:pPr>
            <w:r>
              <w:rPr>
                <w:rFonts w:hint="eastAsia"/>
                <w:b/>
              </w:rPr>
              <w:t>招标文件编号：</w:t>
            </w:r>
            <w:r>
              <w:rPr>
                <w:rFonts w:hint="eastAsia"/>
                <w:b/>
                <w:lang w:eastAsia="zh-CN"/>
              </w:rPr>
              <w:t>ZHD【2023】NDCG-029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720" w:type="dxa"/>
            <w:vAlign w:val="center"/>
          </w:tcPr>
          <w:p>
            <w:pPr>
              <w:pStyle w:val="12"/>
              <w:jc w:val="both"/>
              <w:rPr>
                <w:rFonts w:hint="eastAsia"/>
                <w:b/>
                <w:lang w:eastAsia="zh-CN"/>
              </w:rPr>
            </w:pPr>
            <w:r>
              <w:rPr>
                <w:rFonts w:hint="eastAsia"/>
                <w:b/>
              </w:rPr>
              <w:t>项目名称：</w:t>
            </w:r>
            <w:r>
              <w:rPr>
                <w:rFonts w:hint="eastAsia"/>
                <w:b/>
                <w:lang w:eastAsia="zh-CN"/>
              </w:rPr>
              <w:t>寿宁县下党乡下党村智慧农业产业园改造提升工艺设备系统采购项目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720" w:type="dxa"/>
            <w:vAlign w:val="center"/>
          </w:tcPr>
          <w:p>
            <w:pPr>
              <w:pStyle w:val="12"/>
              <w:jc w:val="both"/>
              <w:rPr>
                <w:b/>
              </w:rPr>
            </w:pPr>
            <w:r>
              <w:rPr>
                <w:rFonts w:hint="eastAsia"/>
                <w:b/>
              </w:rPr>
              <w:t>报名公司名称：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720" w:type="dxa"/>
            <w:vAlign w:val="center"/>
          </w:tcPr>
          <w:p>
            <w:pPr>
              <w:pStyle w:val="12"/>
              <w:jc w:val="both"/>
              <w:rPr>
                <w:b/>
              </w:rPr>
            </w:pPr>
            <w:r>
              <w:rPr>
                <w:rFonts w:hint="eastAsia"/>
                <w:b/>
              </w:rPr>
              <w:t>联系人：                E-mail：          所投合同包号：  合同包1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720" w:type="dxa"/>
            <w:vAlign w:val="center"/>
          </w:tcPr>
          <w:p>
            <w:pPr>
              <w:pStyle w:val="12"/>
              <w:jc w:val="both"/>
              <w:rPr>
                <w:b/>
              </w:rPr>
            </w:pPr>
            <w:r>
              <w:rPr>
                <w:rFonts w:hint="eastAsia"/>
                <w:b/>
              </w:rPr>
              <w:t xml:space="preserve">手机：                   电话：           </w:t>
            </w:r>
            <w:r>
              <w:rPr>
                <w:rFonts w:hint="eastAsia"/>
                <w:b/>
              </w:rPr>
              <w:softHyphen/>
            </w:r>
            <w:r>
              <w:rPr>
                <w:rFonts w:hint="eastAsia"/>
                <w:b/>
              </w:rPr>
              <w:t>传真：</w:t>
            </w:r>
          </w:p>
        </w:tc>
      </w:tr>
    </w:tbl>
    <w:p>
      <w:pPr>
        <w:pStyle w:val="12"/>
        <w:jc w:val="both"/>
        <w:rPr>
          <w:b/>
        </w:rPr>
      </w:pPr>
      <w:r>
        <w:rPr>
          <w:rFonts w:hint="eastAsia"/>
          <w:b/>
          <w:lang w:val="en-US" w:eastAsia="zh-CN"/>
        </w:rPr>
        <w:t>9</w:t>
      </w:r>
      <w:r>
        <w:rPr>
          <w:rFonts w:hint="eastAsia"/>
          <w:b/>
        </w:rPr>
        <w:t>、投标保证金：合同包1投标保证</w:t>
      </w:r>
      <w:r>
        <w:rPr>
          <w:rFonts w:hint="eastAsia"/>
          <w:b/>
          <w:color w:val="0000FF"/>
        </w:rPr>
        <w:t>金为人民币</w:t>
      </w:r>
      <w:r>
        <w:rPr>
          <w:rFonts w:hint="eastAsia"/>
          <w:b/>
          <w:color w:val="0000FF"/>
          <w:lang w:val="en-US" w:eastAsia="zh-CN"/>
        </w:rPr>
        <w:t>壹万</w:t>
      </w:r>
      <w:r>
        <w:rPr>
          <w:rFonts w:hint="eastAsia"/>
          <w:b/>
          <w:color w:val="0000FF"/>
        </w:rPr>
        <w:t>元整（￥</w:t>
      </w:r>
      <w:r>
        <w:rPr>
          <w:rFonts w:hint="eastAsia"/>
          <w:b/>
          <w:color w:val="0000FF"/>
          <w:lang w:val="en-US" w:eastAsia="zh-CN"/>
        </w:rPr>
        <w:t>10000</w:t>
      </w:r>
      <w:r>
        <w:rPr>
          <w:rFonts w:hint="eastAsia"/>
          <w:b/>
          <w:color w:val="0000FF"/>
        </w:rPr>
        <w:t>元）。须在投标保证金</w:t>
      </w:r>
      <w:r>
        <w:rPr>
          <w:rFonts w:hint="eastAsia"/>
          <w:b/>
        </w:rPr>
        <w:t>转账凭证上注明项目编号，以便更有效地对投标保证金进行到账核实及退还。</w:t>
      </w:r>
    </w:p>
    <w:p>
      <w:pPr>
        <w:pStyle w:val="12"/>
        <w:jc w:val="both"/>
        <w:rPr>
          <w:b/>
        </w:rPr>
      </w:pPr>
      <w:r>
        <w:rPr>
          <w:rFonts w:hint="eastAsia"/>
          <w:b/>
          <w:lang w:val="en-US" w:eastAsia="zh-CN"/>
        </w:rPr>
        <w:t>10</w:t>
      </w:r>
      <w:r>
        <w:rPr>
          <w:rFonts w:hint="eastAsia"/>
          <w:b/>
        </w:rPr>
        <w:t>、投标截止时间：</w:t>
      </w:r>
      <w:r>
        <w:rPr>
          <w:rFonts w:hint="eastAsia"/>
          <w:b/>
          <w:lang w:eastAsia="zh-CN"/>
        </w:rPr>
        <w:t>2023</w:t>
      </w:r>
      <w:r>
        <w:rPr>
          <w:rFonts w:hint="eastAsia"/>
          <w:b/>
        </w:rPr>
        <w:t>年</w:t>
      </w:r>
      <w:r>
        <w:rPr>
          <w:rFonts w:hint="eastAsia"/>
          <w:b/>
          <w:lang w:val="en-US" w:eastAsia="zh-CN"/>
        </w:rPr>
        <w:t xml:space="preserve">   </w:t>
      </w:r>
      <w:r>
        <w:rPr>
          <w:rFonts w:hint="eastAsia"/>
          <w:b/>
        </w:rPr>
        <w:t>月</w:t>
      </w:r>
      <w:r>
        <w:rPr>
          <w:rFonts w:hint="eastAsia"/>
          <w:b/>
          <w:lang w:val="en-US" w:eastAsia="zh-CN"/>
        </w:rPr>
        <w:t xml:space="preserve">  </w:t>
      </w:r>
      <w:r>
        <w:rPr>
          <w:rFonts w:hint="eastAsia"/>
          <w:b/>
        </w:rPr>
        <w:t>日</w:t>
      </w:r>
      <w:r>
        <w:rPr>
          <w:rFonts w:hint="eastAsia"/>
          <w:b/>
          <w:lang w:val="en-US" w:eastAsia="zh-CN"/>
        </w:rPr>
        <w:t>上午10</w:t>
      </w:r>
      <w:r>
        <w:rPr>
          <w:rFonts w:hint="eastAsia"/>
          <w:b/>
        </w:rPr>
        <w:t>:00时（北京时间），逾期送达的或不符合规定的投标文件将被拒绝。请投标代表提早前往。</w:t>
      </w:r>
    </w:p>
    <w:p>
      <w:pPr>
        <w:pStyle w:val="12"/>
        <w:jc w:val="both"/>
        <w:rPr>
          <w:b/>
        </w:rPr>
      </w:pPr>
      <w:r>
        <w:rPr>
          <w:rFonts w:hint="eastAsia"/>
          <w:b/>
        </w:rPr>
        <w:t>1</w:t>
      </w:r>
      <w:r>
        <w:rPr>
          <w:rFonts w:hint="eastAsia"/>
          <w:b/>
          <w:lang w:val="en-US" w:eastAsia="zh-CN"/>
        </w:rPr>
        <w:t>1</w:t>
      </w:r>
      <w:r>
        <w:rPr>
          <w:rFonts w:hint="eastAsia"/>
          <w:b/>
        </w:rPr>
        <w:t>、开标时间及地点：</w:t>
      </w:r>
      <w:r>
        <w:rPr>
          <w:rFonts w:hint="eastAsia"/>
          <w:b/>
          <w:lang w:eastAsia="zh-CN"/>
        </w:rPr>
        <w:t>2023</w:t>
      </w:r>
      <w:r>
        <w:rPr>
          <w:rFonts w:hint="eastAsia"/>
          <w:b/>
        </w:rPr>
        <w:t>年</w:t>
      </w:r>
      <w:r>
        <w:rPr>
          <w:rFonts w:hint="eastAsia"/>
          <w:b/>
          <w:lang w:val="en-US" w:eastAsia="zh-CN"/>
        </w:rPr>
        <w:t xml:space="preserve">  </w:t>
      </w:r>
      <w:r>
        <w:rPr>
          <w:rFonts w:hint="eastAsia"/>
          <w:b/>
        </w:rPr>
        <w:t>月</w:t>
      </w:r>
      <w:r>
        <w:rPr>
          <w:rFonts w:hint="eastAsia"/>
          <w:b/>
          <w:lang w:val="en-US" w:eastAsia="zh-CN"/>
        </w:rPr>
        <w:t xml:space="preserve">    </w:t>
      </w:r>
      <w:r>
        <w:rPr>
          <w:rFonts w:hint="eastAsia"/>
          <w:b/>
        </w:rPr>
        <w:t>日</w:t>
      </w:r>
      <w:r>
        <w:rPr>
          <w:rFonts w:hint="eastAsia"/>
          <w:b/>
          <w:lang w:val="en-US" w:eastAsia="zh-CN"/>
        </w:rPr>
        <w:t>上午10</w:t>
      </w:r>
      <w:r>
        <w:rPr>
          <w:rFonts w:hint="eastAsia"/>
          <w:b/>
        </w:rPr>
        <w:t>:00时（北京时间），在</w:t>
      </w:r>
      <w:r>
        <w:rPr>
          <w:rFonts w:hint="eastAsia"/>
          <w:b/>
          <w:lang w:eastAsia="zh-CN"/>
        </w:rPr>
        <w:t>福建中恒达建设项目管理有限公司</w:t>
      </w:r>
      <w:r>
        <w:rPr>
          <w:rFonts w:hint="eastAsia"/>
          <w:b/>
        </w:rPr>
        <w:t>（</w:t>
      </w:r>
      <w:r>
        <w:rPr>
          <w:rFonts w:hint="eastAsia"/>
          <w:b/>
          <w:lang w:eastAsia="zh-CN"/>
        </w:rPr>
        <w:t>宁德市东侨经济开发区闽东中路28号(盈丰佳园)3幢1层107</w:t>
      </w:r>
      <w:r>
        <w:rPr>
          <w:rFonts w:hint="eastAsia"/>
          <w:b/>
        </w:rPr>
        <w:t>开标大厅）。</w:t>
      </w:r>
    </w:p>
    <w:p>
      <w:pPr>
        <w:pStyle w:val="12"/>
        <w:jc w:val="both"/>
        <w:rPr>
          <w:b/>
        </w:rPr>
      </w:pPr>
      <w:r>
        <w:rPr>
          <w:rFonts w:hint="eastAsia"/>
          <w:b/>
        </w:rPr>
        <w:t>1</w:t>
      </w:r>
      <w:r>
        <w:rPr>
          <w:rFonts w:hint="eastAsia"/>
          <w:b/>
          <w:lang w:val="en-US" w:eastAsia="zh-CN"/>
        </w:rPr>
        <w:t>2</w:t>
      </w:r>
      <w:r>
        <w:rPr>
          <w:rFonts w:hint="eastAsia"/>
          <w:b/>
        </w:rPr>
        <w:t>、公告期限</w:t>
      </w:r>
    </w:p>
    <w:p>
      <w:pPr>
        <w:pStyle w:val="12"/>
        <w:jc w:val="both"/>
        <w:rPr>
          <w:b/>
        </w:rPr>
      </w:pPr>
      <w:r>
        <w:rPr>
          <w:rFonts w:hint="eastAsia"/>
          <w:b/>
        </w:rPr>
        <w:t>1</w:t>
      </w:r>
      <w:r>
        <w:rPr>
          <w:rFonts w:hint="eastAsia"/>
          <w:b/>
          <w:lang w:val="en-US" w:eastAsia="zh-CN"/>
        </w:rPr>
        <w:t>2</w:t>
      </w:r>
      <w:r>
        <w:rPr>
          <w:rFonts w:hint="eastAsia"/>
          <w:b/>
        </w:rPr>
        <w:t>.1招标公告的公告期限：自发布公告之日起5个工作日。</w:t>
      </w:r>
    </w:p>
    <w:p>
      <w:pPr>
        <w:pStyle w:val="12"/>
        <w:jc w:val="both"/>
        <w:rPr>
          <w:rFonts w:hint="eastAsia"/>
          <w:b/>
          <w:lang w:eastAsia="zh-CN"/>
        </w:rPr>
      </w:pPr>
      <w:r>
        <w:rPr>
          <w:rFonts w:hint="eastAsia"/>
          <w:b/>
        </w:rPr>
        <w:t>11、采购人：</w:t>
      </w:r>
      <w:r>
        <w:rPr>
          <w:rFonts w:hint="eastAsia"/>
          <w:b/>
          <w:lang w:eastAsia="zh-CN"/>
        </w:rPr>
        <w:t>福建钰超建设工程有限公司</w:t>
      </w:r>
    </w:p>
    <w:p>
      <w:pPr>
        <w:pStyle w:val="12"/>
        <w:jc w:val="both"/>
        <w:rPr>
          <w:rFonts w:hint="eastAsia"/>
          <w:b/>
          <w:lang w:eastAsia="zh-CN"/>
        </w:rPr>
      </w:pPr>
      <w:r>
        <w:rPr>
          <w:rFonts w:hint="eastAsia"/>
          <w:b/>
        </w:rPr>
        <w:t>地址：</w:t>
      </w:r>
      <w:r>
        <w:rPr>
          <w:rFonts w:hint="eastAsia"/>
          <w:b/>
          <w:lang w:eastAsia="zh-CN"/>
        </w:rPr>
        <w:t xml:space="preserve">福建省宁德市寿宁县鳌阳镇东区梦龙街32号国贸大厦商业楼4层 </w:t>
      </w:r>
    </w:p>
    <w:p>
      <w:pPr>
        <w:pStyle w:val="12"/>
        <w:jc w:val="both"/>
        <w:rPr>
          <w:rFonts w:hint="eastAsia"/>
          <w:b/>
        </w:rPr>
      </w:pPr>
      <w:r>
        <w:rPr>
          <w:rFonts w:hint="eastAsia"/>
          <w:b/>
        </w:rPr>
        <w:t>邮编：</w:t>
      </w:r>
      <w:r>
        <w:rPr>
          <w:rFonts w:hint="eastAsia"/>
          <w:b/>
          <w:lang w:val="en-US" w:eastAsia="zh-CN"/>
        </w:rPr>
        <w:t>许</w:t>
      </w:r>
      <w:r>
        <w:rPr>
          <w:rFonts w:hint="eastAsia"/>
          <w:b/>
        </w:rPr>
        <w:t>先生</w:t>
      </w:r>
    </w:p>
    <w:p>
      <w:pPr>
        <w:pStyle w:val="12"/>
        <w:jc w:val="both"/>
        <w:rPr>
          <w:rFonts w:hint="eastAsia"/>
          <w:b/>
        </w:rPr>
      </w:pPr>
      <w:r>
        <w:rPr>
          <w:rFonts w:hint="eastAsia"/>
          <w:b/>
        </w:rPr>
        <w:t>联系电话：0596-7362222</w:t>
      </w:r>
    </w:p>
    <w:p>
      <w:pPr>
        <w:pStyle w:val="12"/>
        <w:jc w:val="both"/>
        <w:rPr>
          <w:rFonts w:hint="eastAsia"/>
          <w:b/>
        </w:rPr>
      </w:pPr>
      <w:r>
        <w:rPr>
          <w:rFonts w:hint="eastAsia"/>
          <w:b/>
        </w:rPr>
        <w:t>12、代理机构：</w:t>
      </w:r>
      <w:r>
        <w:rPr>
          <w:rFonts w:hint="eastAsia"/>
          <w:b/>
          <w:lang w:eastAsia="zh-CN"/>
        </w:rPr>
        <w:t>福建中恒达建设项目管理有限公司</w:t>
      </w:r>
    </w:p>
    <w:p>
      <w:pPr>
        <w:pStyle w:val="12"/>
        <w:jc w:val="both"/>
        <w:rPr>
          <w:rFonts w:hint="eastAsia"/>
          <w:b/>
          <w:lang w:eastAsia="zh-CN"/>
        </w:rPr>
      </w:pPr>
      <w:r>
        <w:rPr>
          <w:rFonts w:hint="eastAsia"/>
          <w:b/>
          <w:lang w:eastAsia="zh-CN"/>
        </w:rPr>
        <w:t>地  址：宁德市东侨经济开发区闽东中路28号(盈丰佳园)3幢1层107。</w:t>
      </w:r>
    </w:p>
    <w:p>
      <w:pPr>
        <w:pStyle w:val="12"/>
        <w:jc w:val="both"/>
        <w:rPr>
          <w:rFonts w:hint="default"/>
          <w:b/>
          <w:lang w:val="en-US" w:eastAsia="zh-CN"/>
        </w:rPr>
      </w:pPr>
      <w:r>
        <w:rPr>
          <w:rFonts w:hint="eastAsia"/>
          <w:b/>
          <w:lang w:eastAsia="zh-CN"/>
        </w:rPr>
        <w:t>联系方法：0593-2732399、</w:t>
      </w:r>
      <w:r>
        <w:rPr>
          <w:rFonts w:hint="eastAsia"/>
          <w:b/>
          <w:lang w:val="en-US" w:eastAsia="zh-CN"/>
        </w:rPr>
        <w:t>13509579792</w:t>
      </w:r>
    </w:p>
    <w:p>
      <w:pPr>
        <w:pStyle w:val="12"/>
        <w:ind w:firstLine="400" w:firstLineChars="200"/>
        <w:jc w:val="left"/>
        <w:rPr>
          <w:rFonts w:hint="eastAsia"/>
          <w:lang w:eastAsia="zh-CN"/>
        </w:rPr>
      </w:pPr>
      <w:r>
        <w:rPr>
          <w:rFonts w:hint="eastAsia"/>
          <w:lang w:eastAsia="zh-CN"/>
        </w:rPr>
        <w:t>联系人：小荆</w:t>
      </w:r>
    </w:p>
    <w:p>
      <w:pPr>
        <w:pStyle w:val="12"/>
        <w:ind w:firstLine="480"/>
        <w:jc w:val="both"/>
        <w:outlineLvl w:val="2"/>
        <w:rPr>
          <w:b/>
          <w:sz w:val="28"/>
        </w:rPr>
      </w:pPr>
      <w:r>
        <w:rPr>
          <w:b/>
          <w:sz w:val="28"/>
        </w:rPr>
        <w:t>附1：账户信息</w:t>
      </w:r>
    </w:p>
    <w:tbl>
      <w:tblPr>
        <w:tblStyle w:val="9"/>
        <w:tblpPr w:leftFromText="180" w:rightFromText="180" w:vertAnchor="text" w:horzAnchor="page" w:tblpXSpec="center" w:tblpY="294"/>
        <w:tblOverlap w:val="never"/>
        <w:tblW w:w="9202"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blCellSpacing w:w="15" w:type="dxa"/>
          <w:jc w:val="center"/>
        </w:trPr>
        <w:tc>
          <w:tcPr>
            <w:tcW w:w="9142" w:type="dxa"/>
            <w:tcMar>
              <w:top w:w="0" w:type="dxa"/>
              <w:left w:w="105" w:type="dxa"/>
              <w:bottom w:w="0" w:type="dxa"/>
              <w:right w:w="105" w:type="dxa"/>
            </w:tcMar>
            <w:vAlign w:val="center"/>
          </w:tcPr>
          <w:p>
            <w:pPr>
              <w:pStyle w:val="12"/>
              <w:jc w:val="both"/>
              <w:rPr>
                <w:b/>
              </w:rPr>
            </w:pPr>
            <w:r>
              <w:rPr>
                <w:rFonts w:hint="eastAsia"/>
                <w:b/>
              </w:rPr>
              <w:t>投标保证金账户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0" w:hRule="atLeast"/>
          <w:tblCellSpacing w:w="15" w:type="dxa"/>
          <w:jc w:val="center"/>
        </w:trPr>
        <w:tc>
          <w:tcPr>
            <w:tcW w:w="9142" w:type="dxa"/>
            <w:tcMar>
              <w:top w:w="0" w:type="dxa"/>
              <w:left w:w="105" w:type="dxa"/>
              <w:bottom w:w="0" w:type="dxa"/>
              <w:right w:w="105" w:type="dxa"/>
            </w:tcMar>
            <w:vAlign w:val="top"/>
          </w:tcPr>
          <w:p>
            <w:pPr>
              <w:pStyle w:val="12"/>
              <w:jc w:val="both"/>
              <w:rPr>
                <w:rFonts w:hint="eastAsia"/>
                <w:b/>
                <w:lang w:eastAsia="zh-CN"/>
              </w:rPr>
            </w:pPr>
            <w:r>
              <w:rPr>
                <w:rFonts w:hint="eastAsia"/>
                <w:b/>
              </w:rPr>
              <w:t>开户名称：福建中恒达建设项目管理有限公司宁德分公司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0" w:hRule="atLeast"/>
          <w:tblCellSpacing w:w="15" w:type="dxa"/>
          <w:jc w:val="center"/>
        </w:trPr>
        <w:tc>
          <w:tcPr>
            <w:tcW w:w="9142" w:type="dxa"/>
            <w:tcMar>
              <w:top w:w="0" w:type="dxa"/>
              <w:left w:w="105" w:type="dxa"/>
              <w:bottom w:w="0" w:type="dxa"/>
              <w:right w:w="105" w:type="dxa"/>
            </w:tcMar>
            <w:vAlign w:val="top"/>
          </w:tcPr>
          <w:p>
            <w:pPr>
              <w:pStyle w:val="12"/>
              <w:jc w:val="both"/>
              <w:rPr>
                <w:b/>
              </w:rPr>
            </w:pPr>
            <w:r>
              <w:rPr>
                <w:rFonts w:hint="eastAsia"/>
                <w:b/>
              </w:rPr>
              <w:t>开户银行：泉州银行股份有限公司宁德分行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0" w:hRule="atLeast"/>
          <w:tblCellSpacing w:w="15" w:type="dxa"/>
          <w:jc w:val="center"/>
        </w:trPr>
        <w:tc>
          <w:tcPr>
            <w:tcW w:w="9142" w:type="dxa"/>
            <w:tcMar>
              <w:top w:w="0" w:type="dxa"/>
              <w:left w:w="105" w:type="dxa"/>
              <w:bottom w:w="0" w:type="dxa"/>
              <w:right w:w="105" w:type="dxa"/>
            </w:tcMar>
            <w:vAlign w:val="top"/>
          </w:tcPr>
          <w:p>
            <w:pPr>
              <w:pStyle w:val="12"/>
              <w:jc w:val="both"/>
              <w:rPr>
                <w:b/>
              </w:rPr>
            </w:pPr>
            <w:r>
              <w:rPr>
                <w:rFonts w:hint="eastAsia"/>
                <w:b/>
              </w:rPr>
              <w:t>银行账号：9010011200000000080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0" w:hRule="atLeast"/>
          <w:tblCellSpacing w:w="15" w:type="dxa"/>
          <w:jc w:val="center"/>
        </w:trPr>
        <w:tc>
          <w:tcPr>
            <w:tcW w:w="9142" w:type="dxa"/>
            <w:tcMar>
              <w:top w:w="0" w:type="dxa"/>
              <w:left w:w="105" w:type="dxa"/>
              <w:bottom w:w="0" w:type="dxa"/>
              <w:right w:w="105" w:type="dxa"/>
            </w:tcMar>
            <w:vAlign w:val="center"/>
          </w:tcPr>
          <w:p>
            <w:pPr>
              <w:pStyle w:val="12"/>
              <w:jc w:val="both"/>
              <w:rPr>
                <w:b/>
              </w:rPr>
            </w:pPr>
            <w:r>
              <w:rPr>
                <w:rFonts w:hint="eastAsia"/>
                <w:b/>
              </w:rPr>
              <w:t>特别提示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blCellSpacing w:w="15" w:type="dxa"/>
          <w:jc w:val="center"/>
        </w:trPr>
        <w:tc>
          <w:tcPr>
            <w:tcW w:w="9142" w:type="dxa"/>
            <w:tcMar>
              <w:top w:w="0" w:type="dxa"/>
              <w:left w:w="105" w:type="dxa"/>
              <w:bottom w:w="0" w:type="dxa"/>
              <w:right w:w="105" w:type="dxa"/>
            </w:tcMar>
          </w:tcPr>
          <w:p>
            <w:pPr>
              <w:pStyle w:val="12"/>
              <w:jc w:val="both"/>
              <w:rPr>
                <w:b/>
              </w:rPr>
            </w:pPr>
            <w:r>
              <w:rPr>
                <w:rFonts w:hint="eastAsia"/>
                <w:b/>
              </w:rPr>
              <w:t>1、投标人应认真核对账户信息，将投标保证金汇入以上账户，并自行承担因汇错投标保证金而产生的一切后果。</w:t>
            </w:r>
          </w:p>
          <w:p>
            <w:pPr>
              <w:pStyle w:val="12"/>
              <w:jc w:val="both"/>
              <w:rPr>
                <w:b/>
              </w:rPr>
            </w:pPr>
            <w:r>
              <w:rPr>
                <w:rFonts w:hint="eastAsia"/>
                <w:b/>
              </w:rPr>
              <w:t>2、投标人在转账或电汇的凭证上应按照以下格式注明，以便核对：“（招标编号：</w:t>
            </w:r>
            <w:r>
              <w:rPr>
                <w:rFonts w:hint="eastAsia"/>
                <w:b/>
                <w:color w:val="0000FF"/>
                <w:lang w:eastAsia="zh-CN"/>
              </w:rPr>
              <w:t>ZHD【2023】NDCG-029</w:t>
            </w:r>
            <w:r>
              <w:rPr>
                <w:rFonts w:hint="eastAsia"/>
                <w:b/>
                <w:color w:val="0000FF"/>
              </w:rPr>
              <w:t>）的投标保证金”。</w:t>
            </w:r>
          </w:p>
        </w:tc>
      </w:tr>
    </w:tbl>
    <w:p>
      <w:pPr>
        <w:pStyle w:val="12"/>
        <w:ind w:firstLine="480"/>
        <w:jc w:val="both"/>
        <w:outlineLvl w:val="2"/>
        <w:rPr>
          <w:b/>
          <w:sz w:val="28"/>
        </w:rPr>
      </w:pPr>
    </w:p>
    <w:p>
      <w:pPr>
        <w:pStyle w:val="12"/>
        <w:ind w:firstLine="480"/>
        <w:jc w:val="both"/>
        <w:outlineLvl w:val="2"/>
      </w:pPr>
      <w:r>
        <w:rPr>
          <w:b/>
          <w:sz w:val="28"/>
        </w:rPr>
        <w:t>附2：采购标的一览表</w:t>
      </w:r>
    </w:p>
    <w:p>
      <w:pPr>
        <w:pStyle w:val="12"/>
        <w:jc w:val="left"/>
      </w:pPr>
      <w:r>
        <w:t>采购包1：</w:t>
      </w:r>
    </w:p>
    <w:p>
      <w:pPr>
        <w:pStyle w:val="12"/>
        <w:jc w:val="left"/>
      </w:pPr>
      <w:r>
        <w:t xml:space="preserve">采购包预算金额（元）: </w:t>
      </w:r>
      <w:r>
        <w:rPr>
          <w:rFonts w:hint="eastAsia"/>
          <w:lang w:eastAsia="zh-CN"/>
        </w:rPr>
        <w:t>12529362</w:t>
      </w:r>
      <w:r>
        <w:t>.00</w:t>
      </w:r>
    </w:p>
    <w:p>
      <w:pPr>
        <w:pStyle w:val="12"/>
        <w:jc w:val="left"/>
      </w:pPr>
      <w:r>
        <w:t xml:space="preserve">采购包最高限价（元）: </w:t>
      </w:r>
      <w:r>
        <w:rPr>
          <w:rFonts w:hint="eastAsia"/>
          <w:lang w:eastAsia="zh-CN"/>
        </w:rPr>
        <w:t>12529362</w:t>
      </w:r>
      <w:r>
        <w:t>.00</w:t>
      </w:r>
    </w:p>
    <w:p>
      <w:pPr>
        <w:pStyle w:val="12"/>
        <w:jc w:val="left"/>
      </w:pPr>
      <w:r>
        <w:t>采购包保证金金额（元）:</w:t>
      </w:r>
      <w:r>
        <w:rPr>
          <w:rFonts w:hint="eastAsia"/>
          <w:lang w:val="en-US" w:eastAsia="zh-CN"/>
        </w:rPr>
        <w:t>10000</w:t>
      </w:r>
      <w:r>
        <w:t>.00</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531"/>
        <w:gridCol w:w="2441"/>
        <w:gridCol w:w="423"/>
        <w:gridCol w:w="1309"/>
        <w:gridCol w:w="641"/>
        <w:gridCol w:w="668"/>
        <w:gridCol w:w="886"/>
        <w:gridCol w:w="110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31" w:type="dxa"/>
          </w:tcPr>
          <w:p>
            <w:pPr>
              <w:pStyle w:val="12"/>
              <w:jc w:val="left"/>
            </w:pPr>
            <w:r>
              <w:t>序号</w:t>
            </w:r>
          </w:p>
        </w:tc>
        <w:tc>
          <w:tcPr>
            <w:tcW w:w="2441" w:type="dxa"/>
          </w:tcPr>
          <w:p>
            <w:pPr>
              <w:pStyle w:val="12"/>
              <w:jc w:val="left"/>
            </w:pPr>
            <w:r>
              <w:t>标的名称</w:t>
            </w:r>
          </w:p>
        </w:tc>
        <w:tc>
          <w:tcPr>
            <w:tcW w:w="423" w:type="dxa"/>
          </w:tcPr>
          <w:p>
            <w:pPr>
              <w:pStyle w:val="12"/>
              <w:jc w:val="left"/>
            </w:pPr>
            <w:r>
              <w:t>数量</w:t>
            </w:r>
          </w:p>
        </w:tc>
        <w:tc>
          <w:tcPr>
            <w:tcW w:w="1309" w:type="dxa"/>
          </w:tcPr>
          <w:p>
            <w:pPr>
              <w:pStyle w:val="12"/>
              <w:jc w:val="left"/>
            </w:pPr>
            <w:r>
              <w:t>标的金额 （元）</w:t>
            </w:r>
          </w:p>
        </w:tc>
        <w:tc>
          <w:tcPr>
            <w:tcW w:w="641" w:type="dxa"/>
          </w:tcPr>
          <w:p>
            <w:pPr>
              <w:pStyle w:val="12"/>
              <w:jc w:val="left"/>
            </w:pPr>
            <w:r>
              <w:t>计量单位</w:t>
            </w:r>
          </w:p>
        </w:tc>
        <w:tc>
          <w:tcPr>
            <w:tcW w:w="668" w:type="dxa"/>
          </w:tcPr>
          <w:p>
            <w:pPr>
              <w:pStyle w:val="12"/>
              <w:jc w:val="left"/>
            </w:pPr>
            <w:r>
              <w:t>所属行业</w:t>
            </w:r>
          </w:p>
        </w:tc>
        <w:tc>
          <w:tcPr>
            <w:tcW w:w="886" w:type="dxa"/>
          </w:tcPr>
          <w:p>
            <w:pPr>
              <w:pStyle w:val="12"/>
              <w:jc w:val="left"/>
            </w:pPr>
            <w:r>
              <w:t>是否允许进口产品</w:t>
            </w:r>
          </w:p>
        </w:tc>
        <w:tc>
          <w:tcPr>
            <w:tcW w:w="1105" w:type="dxa"/>
          </w:tcPr>
          <w:p>
            <w:pPr>
              <w:pStyle w:val="12"/>
              <w:jc w:val="left"/>
              <w:rPr>
                <w:rFonts w:hint="eastAsia" w:eastAsiaTheme="minorEastAsia"/>
                <w:lang w:val="en-US" w:eastAsia="zh-CN"/>
              </w:rPr>
            </w:pPr>
            <w:r>
              <w:rPr>
                <w:rFonts w:hint="eastAsia"/>
                <w:lang w:val="en-US" w:eastAsia="zh-CN"/>
              </w:rPr>
              <w:t>保证金</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31" w:type="dxa"/>
          </w:tcPr>
          <w:p>
            <w:pPr>
              <w:pStyle w:val="12"/>
              <w:jc w:val="left"/>
              <w:rPr>
                <w:highlight w:val="none"/>
              </w:rPr>
            </w:pPr>
            <w:r>
              <w:rPr>
                <w:highlight w:val="none"/>
              </w:rPr>
              <w:t>1</w:t>
            </w:r>
          </w:p>
        </w:tc>
        <w:tc>
          <w:tcPr>
            <w:tcW w:w="2441" w:type="dxa"/>
          </w:tcPr>
          <w:p>
            <w:pPr>
              <w:pStyle w:val="12"/>
              <w:jc w:val="left"/>
              <w:rPr>
                <w:highlight w:val="none"/>
              </w:rPr>
            </w:pPr>
            <w:r>
              <w:rPr>
                <w:rFonts w:hint="eastAsia"/>
                <w:highlight w:val="none"/>
                <w:lang w:eastAsia="zh-CN"/>
              </w:rPr>
              <w:t>寿宁县下党乡下党村智慧农业产业园改造提升工艺设备系统采购项目</w:t>
            </w:r>
          </w:p>
        </w:tc>
        <w:tc>
          <w:tcPr>
            <w:tcW w:w="423" w:type="dxa"/>
          </w:tcPr>
          <w:p>
            <w:pPr>
              <w:pStyle w:val="12"/>
              <w:jc w:val="right"/>
              <w:rPr>
                <w:highlight w:val="none"/>
              </w:rPr>
            </w:pPr>
            <w:r>
              <w:rPr>
                <w:highlight w:val="none"/>
              </w:rPr>
              <w:t>1</w:t>
            </w:r>
          </w:p>
        </w:tc>
        <w:tc>
          <w:tcPr>
            <w:tcW w:w="1309" w:type="dxa"/>
          </w:tcPr>
          <w:p>
            <w:pPr>
              <w:pStyle w:val="12"/>
              <w:jc w:val="right"/>
              <w:rPr>
                <w:highlight w:val="none"/>
              </w:rPr>
            </w:pPr>
            <w:r>
              <w:rPr>
                <w:rFonts w:hint="eastAsia"/>
                <w:highlight w:val="none"/>
                <w:lang w:eastAsia="zh-CN"/>
              </w:rPr>
              <w:t>12529362</w:t>
            </w:r>
            <w:r>
              <w:rPr>
                <w:highlight w:val="none"/>
              </w:rPr>
              <w:t>.00</w:t>
            </w:r>
          </w:p>
        </w:tc>
        <w:tc>
          <w:tcPr>
            <w:tcW w:w="641" w:type="dxa"/>
          </w:tcPr>
          <w:p>
            <w:pPr>
              <w:pStyle w:val="12"/>
              <w:jc w:val="left"/>
              <w:rPr>
                <w:highlight w:val="none"/>
              </w:rPr>
            </w:pPr>
            <w:r>
              <w:rPr>
                <w:highlight w:val="none"/>
              </w:rPr>
              <w:t>批</w:t>
            </w:r>
          </w:p>
        </w:tc>
        <w:tc>
          <w:tcPr>
            <w:tcW w:w="668" w:type="dxa"/>
          </w:tcPr>
          <w:p>
            <w:pPr>
              <w:pStyle w:val="12"/>
              <w:jc w:val="left"/>
              <w:rPr>
                <w:highlight w:val="none"/>
              </w:rPr>
            </w:pPr>
            <w:r>
              <w:rPr>
                <w:highlight w:val="none"/>
              </w:rPr>
              <w:t>工业</w:t>
            </w:r>
          </w:p>
        </w:tc>
        <w:tc>
          <w:tcPr>
            <w:tcW w:w="886" w:type="dxa"/>
          </w:tcPr>
          <w:p>
            <w:pPr>
              <w:pStyle w:val="12"/>
              <w:jc w:val="left"/>
              <w:rPr>
                <w:highlight w:val="none"/>
              </w:rPr>
            </w:pPr>
            <w:r>
              <w:rPr>
                <w:highlight w:val="none"/>
              </w:rPr>
              <w:t>否</w:t>
            </w:r>
          </w:p>
        </w:tc>
        <w:tc>
          <w:tcPr>
            <w:tcW w:w="1105" w:type="dxa"/>
          </w:tcPr>
          <w:p>
            <w:pPr>
              <w:pStyle w:val="12"/>
              <w:jc w:val="left"/>
              <w:rPr>
                <w:rFonts w:hint="default" w:eastAsiaTheme="minorEastAsia"/>
                <w:highlight w:val="none"/>
                <w:lang w:val="en-US" w:eastAsia="zh-CN"/>
              </w:rPr>
            </w:pPr>
            <w:r>
              <w:rPr>
                <w:rFonts w:hint="eastAsia"/>
                <w:highlight w:val="none"/>
                <w:lang w:val="en-US" w:eastAsia="zh-CN"/>
              </w:rPr>
              <w:t>10000元</w:t>
            </w:r>
          </w:p>
        </w:tc>
      </w:tr>
    </w:tbl>
    <w:p>
      <w:pPr>
        <w:spacing w:line="400" w:lineRule="exact"/>
        <w:jc w:val="left"/>
        <w:rPr>
          <w:rFonts w:hint="default" w:ascii="宋体" w:hAnsi="宋体" w:eastAsia="宋体" w:cs="宋体"/>
          <w:sz w:val="22"/>
          <w:szCs w:val="22"/>
          <w:highlight w:val="none"/>
          <w:lang w:val="en-US" w:eastAsia="zh-CN"/>
        </w:rPr>
      </w:pPr>
      <w:r>
        <w:rPr>
          <w:rFonts w:hint="eastAsia" w:ascii="宋体" w:hAnsi="宋体" w:cs="宋体"/>
          <w:sz w:val="22"/>
          <w:szCs w:val="22"/>
          <w:highlight w:val="none"/>
        </w:rPr>
        <w:t>注：</w:t>
      </w:r>
      <w:r>
        <w:rPr>
          <w:rFonts w:hint="eastAsia" w:ascii="宋体" w:hAnsi="宋体" w:cs="宋体"/>
          <w:sz w:val="22"/>
          <w:szCs w:val="22"/>
          <w:highlight w:val="none"/>
          <w:lang w:val="en-US" w:eastAsia="zh-CN"/>
        </w:rPr>
        <w:t>最终结算价以经过有关部门审核通过后的工程结算总价作为计费额计算最终工程费结算价。</w:t>
      </w:r>
    </w:p>
    <w:p>
      <w:pPr>
        <w:pStyle w:val="12"/>
        <w:jc w:val="both"/>
      </w:pPr>
    </w:p>
    <w:p>
      <w:pPr>
        <w:pStyle w:val="12"/>
        <w:jc w:val="both"/>
      </w:pPr>
      <w:r>
        <w:rPr>
          <w:b/>
        </w:rPr>
        <w:t xml:space="preserve"> </w:t>
      </w:r>
    </w:p>
    <w:p>
      <w:pPr>
        <w:pStyle w:val="12"/>
        <w:jc w:val="center"/>
        <w:outlineLvl w:val="1"/>
        <w:rPr>
          <w:b/>
          <w:sz w:val="36"/>
        </w:rPr>
      </w:pPr>
    </w:p>
    <w:p>
      <w:pPr>
        <w:pStyle w:val="12"/>
        <w:jc w:val="center"/>
        <w:outlineLvl w:val="1"/>
        <w:rPr>
          <w:b/>
          <w:sz w:val="36"/>
        </w:rPr>
      </w:pPr>
    </w:p>
    <w:p>
      <w:pPr>
        <w:pStyle w:val="12"/>
        <w:jc w:val="center"/>
        <w:outlineLvl w:val="1"/>
      </w:pPr>
      <w:r>
        <w:rPr>
          <w:b/>
          <w:sz w:val="36"/>
        </w:rPr>
        <w:t>第二章 投标人须知前附表</w:t>
      </w:r>
    </w:p>
    <w:p>
      <w:pPr>
        <w:pStyle w:val="12"/>
        <w:ind w:firstLine="480"/>
        <w:jc w:val="both"/>
        <w:outlineLvl w:val="2"/>
      </w:pPr>
      <w:r>
        <w:rPr>
          <w:b/>
          <w:sz w:val="28"/>
        </w:rPr>
        <w:t>一、投标人须知前附表1</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31"/>
        <w:gridCol w:w="1964"/>
        <w:gridCol w:w="521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7" w:type="dxa"/>
            <w:gridSpan w:val="3"/>
          </w:tcPr>
          <w:p>
            <w:pPr>
              <w:pStyle w:val="12"/>
              <w:jc w:val="both"/>
            </w:pPr>
            <w:r>
              <w:rPr>
                <w:b/>
              </w:rPr>
              <w:t>特别提示：本表与招标文件对应章节的内容若不一致，以本表为准。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1" w:type="dxa"/>
          </w:tcPr>
          <w:p>
            <w:pPr>
              <w:pStyle w:val="12"/>
              <w:jc w:val="both"/>
            </w:pPr>
            <w:r>
              <w:rPr>
                <w:b/>
              </w:rPr>
              <w:t>序号</w:t>
            </w:r>
          </w:p>
        </w:tc>
        <w:tc>
          <w:tcPr>
            <w:tcW w:w="1964" w:type="dxa"/>
          </w:tcPr>
          <w:p>
            <w:pPr>
              <w:pStyle w:val="12"/>
              <w:jc w:val="both"/>
            </w:pPr>
            <w:r>
              <w:rPr>
                <w:b/>
              </w:rPr>
              <w:t>招标文件</w:t>
            </w:r>
          </w:p>
          <w:p>
            <w:pPr>
              <w:pStyle w:val="12"/>
              <w:jc w:val="both"/>
            </w:pPr>
            <w:r>
              <w:rPr>
                <w:b/>
              </w:rPr>
              <w:t>（第三章）</w:t>
            </w:r>
          </w:p>
        </w:tc>
        <w:tc>
          <w:tcPr>
            <w:tcW w:w="5212" w:type="dxa"/>
          </w:tcPr>
          <w:p>
            <w:pPr>
              <w:pStyle w:val="12"/>
              <w:jc w:val="both"/>
            </w:pPr>
            <w:r>
              <w:rPr>
                <w:b/>
              </w:rPr>
              <w:t>编列内容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1" w:type="dxa"/>
          </w:tcPr>
          <w:p>
            <w:pPr>
              <w:pStyle w:val="12"/>
              <w:jc w:val="both"/>
            </w:pPr>
            <w:r>
              <w:rPr>
                <w:b/>
              </w:rPr>
              <w:t>1</w:t>
            </w:r>
          </w:p>
        </w:tc>
        <w:tc>
          <w:tcPr>
            <w:tcW w:w="1964" w:type="dxa"/>
          </w:tcPr>
          <w:p>
            <w:pPr>
              <w:pStyle w:val="12"/>
              <w:jc w:val="both"/>
            </w:pPr>
            <w:r>
              <w:rPr>
                <w:b/>
              </w:rPr>
              <w:t>6.1</w:t>
            </w:r>
          </w:p>
        </w:tc>
        <w:tc>
          <w:tcPr>
            <w:tcW w:w="5212" w:type="dxa"/>
          </w:tcPr>
          <w:p>
            <w:pPr>
              <w:pStyle w:val="12"/>
              <w:jc w:val="both"/>
            </w:pPr>
            <w:r>
              <w:rPr>
                <w:b/>
              </w:rPr>
              <w:t>是否组织现场考察或召开开标前答疑会：</w:t>
            </w:r>
          </w:p>
          <w:p>
            <w:pPr>
              <w:pStyle w:val="12"/>
              <w:jc w:val="both"/>
            </w:pPr>
          </w:p>
          <w:p>
            <w:pPr>
              <w:pStyle w:val="12"/>
              <w:jc w:val="both"/>
            </w:pPr>
          </w:p>
          <w:p>
            <w:pPr>
              <w:pStyle w:val="12"/>
              <w:jc w:val="both"/>
            </w:pPr>
            <w:r>
              <w:rPr>
                <w:b/>
              </w:rPr>
              <w:t>采购包1：不组织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1" w:type="dxa"/>
          </w:tcPr>
          <w:p>
            <w:pPr>
              <w:pStyle w:val="12"/>
              <w:jc w:val="both"/>
            </w:pPr>
            <w:r>
              <w:rPr>
                <w:b/>
              </w:rPr>
              <w:t>2</w:t>
            </w:r>
          </w:p>
        </w:tc>
        <w:tc>
          <w:tcPr>
            <w:tcW w:w="1964" w:type="dxa"/>
          </w:tcPr>
          <w:p>
            <w:pPr>
              <w:pStyle w:val="12"/>
              <w:jc w:val="both"/>
            </w:pPr>
            <w:r>
              <w:rPr>
                <w:b/>
              </w:rPr>
              <w:t>10.4</w:t>
            </w:r>
          </w:p>
        </w:tc>
        <w:tc>
          <w:tcPr>
            <w:tcW w:w="5212" w:type="dxa"/>
          </w:tcPr>
          <w:p>
            <w:pPr>
              <w:pStyle w:val="12"/>
              <w:jc w:val="both"/>
            </w:pPr>
            <w:r>
              <w:rPr>
                <w:b/>
              </w:rPr>
              <w:t>投标文件的份数：</w:t>
            </w:r>
          </w:p>
          <w:p>
            <w:pPr>
              <w:pStyle w:val="12"/>
              <w:jc w:val="both"/>
              <w:rPr>
                <w:rFonts w:hint="eastAsia"/>
              </w:rPr>
            </w:pPr>
            <w:r>
              <w:rPr>
                <w:rFonts w:hint="eastAsia"/>
              </w:rPr>
              <w:t>响应文件的份数</w:t>
            </w:r>
          </w:p>
          <w:p>
            <w:pPr>
              <w:pStyle w:val="12"/>
              <w:jc w:val="both"/>
              <w:rPr>
                <w:rFonts w:hint="eastAsia"/>
              </w:rPr>
            </w:pPr>
            <w:r>
              <w:rPr>
                <w:rFonts w:hint="eastAsia"/>
              </w:rPr>
              <w:t>（1）纸质响应文件  </w:t>
            </w:r>
          </w:p>
          <w:p>
            <w:pPr>
              <w:pStyle w:val="12"/>
              <w:jc w:val="both"/>
              <w:rPr>
                <w:rFonts w:hint="eastAsia"/>
              </w:rPr>
            </w:pPr>
            <w:r>
              <w:rPr>
                <w:rFonts w:hint="eastAsia"/>
              </w:rPr>
              <w:t>①响应文件正本</w:t>
            </w:r>
            <w:r>
              <w:rPr>
                <w:rFonts w:hint="eastAsia"/>
                <w:lang w:val="en-US" w:eastAsia="zh-CN"/>
              </w:rPr>
              <w:t>1</w:t>
            </w:r>
            <w:r>
              <w:rPr>
                <w:rFonts w:hint="eastAsia"/>
              </w:rPr>
              <w:t>份、副本</w:t>
            </w:r>
            <w:r>
              <w:rPr>
                <w:rFonts w:hint="eastAsia"/>
                <w:lang w:val="en-US" w:eastAsia="zh-CN"/>
              </w:rPr>
              <w:t>2</w:t>
            </w:r>
            <w:r>
              <w:rPr>
                <w:rFonts w:hint="eastAsia"/>
              </w:rPr>
              <w:t>份。②可读介质（U盘）1份。</w:t>
            </w:r>
          </w:p>
          <w:p>
            <w:pPr>
              <w:pStyle w:val="12"/>
              <w:jc w:val="both"/>
              <w:rPr>
                <w:rFonts w:hint="eastAsia"/>
              </w:rPr>
            </w:pPr>
            <w:r>
              <w:rPr>
                <w:rFonts w:hint="eastAsia"/>
              </w:rPr>
              <w:t xml:space="preserve">注：1）正本必须用A4幅面纸张打印装订成册（为永久性、无破坏不可拆的），逐页加盖公章；副本可以用正本的完整复印件，并在封面标明“正本”“副本”字样。正本与副本如有不一致，则以正本为准。 </w:t>
            </w:r>
          </w:p>
          <w:p>
            <w:pPr>
              <w:pStyle w:val="12"/>
              <w:jc w:val="both"/>
            </w:pPr>
            <w:r>
              <w:rPr>
                <w:rFonts w:hint="eastAsia"/>
              </w:rPr>
              <w:t>2）投标人必须将加盖公章的响应文件正本全部内容扫描成电子文件（U盘无病毒），U盘必须标注供应商名称，其中所有文件不做压缩处理、不设密码，与响应文件一同密封提交。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1" w:type="dxa"/>
          </w:tcPr>
          <w:p>
            <w:pPr>
              <w:pStyle w:val="12"/>
              <w:jc w:val="both"/>
            </w:pPr>
            <w:r>
              <w:rPr>
                <w:b/>
              </w:rPr>
              <w:t>3</w:t>
            </w:r>
          </w:p>
        </w:tc>
        <w:tc>
          <w:tcPr>
            <w:tcW w:w="1964" w:type="dxa"/>
          </w:tcPr>
          <w:p>
            <w:pPr>
              <w:pStyle w:val="12"/>
              <w:jc w:val="both"/>
            </w:pPr>
            <w:r>
              <w:rPr>
                <w:b/>
              </w:rPr>
              <w:t>10.7-（1）</w:t>
            </w:r>
          </w:p>
        </w:tc>
        <w:tc>
          <w:tcPr>
            <w:tcW w:w="5212" w:type="dxa"/>
          </w:tcPr>
          <w:p>
            <w:pPr>
              <w:pStyle w:val="12"/>
              <w:jc w:val="both"/>
            </w:pPr>
            <w:r>
              <w:rPr>
                <w:b/>
              </w:rPr>
              <w:t>是否允许中标人将本项目的非主体、非关键性工作进行分包：</w:t>
            </w:r>
          </w:p>
          <w:p>
            <w:pPr>
              <w:pStyle w:val="12"/>
              <w:jc w:val="both"/>
            </w:pPr>
            <w:r>
              <w:rPr>
                <w:b/>
              </w:rPr>
              <w:t>采购包1：不允许合同分包；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1" w:type="dxa"/>
          </w:tcPr>
          <w:p>
            <w:pPr>
              <w:pStyle w:val="12"/>
              <w:jc w:val="both"/>
            </w:pPr>
            <w:r>
              <w:rPr>
                <w:b/>
              </w:rPr>
              <w:t>4</w:t>
            </w:r>
          </w:p>
        </w:tc>
        <w:tc>
          <w:tcPr>
            <w:tcW w:w="1964" w:type="dxa"/>
          </w:tcPr>
          <w:p>
            <w:pPr>
              <w:pStyle w:val="12"/>
              <w:jc w:val="both"/>
            </w:pPr>
            <w:r>
              <w:rPr>
                <w:b/>
              </w:rPr>
              <w:t>10.8-（1）</w:t>
            </w:r>
          </w:p>
        </w:tc>
        <w:tc>
          <w:tcPr>
            <w:tcW w:w="5212" w:type="dxa"/>
          </w:tcPr>
          <w:p>
            <w:pPr>
              <w:pStyle w:val="12"/>
              <w:jc w:val="both"/>
            </w:pPr>
            <w:r>
              <w:rPr>
                <w:b/>
              </w:rPr>
              <w:t>投标有效期：投标截止时间起90个日历日。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1" w:type="dxa"/>
          </w:tcPr>
          <w:p>
            <w:pPr>
              <w:pStyle w:val="12"/>
              <w:jc w:val="both"/>
            </w:pPr>
            <w:r>
              <w:rPr>
                <w:b/>
              </w:rPr>
              <w:t>5</w:t>
            </w:r>
          </w:p>
        </w:tc>
        <w:tc>
          <w:tcPr>
            <w:tcW w:w="1964" w:type="dxa"/>
          </w:tcPr>
          <w:p>
            <w:pPr>
              <w:pStyle w:val="12"/>
              <w:jc w:val="both"/>
            </w:pPr>
            <w:r>
              <w:rPr>
                <w:b/>
              </w:rPr>
              <w:t>12.1</w:t>
            </w:r>
          </w:p>
        </w:tc>
        <w:tc>
          <w:tcPr>
            <w:tcW w:w="5212" w:type="dxa"/>
          </w:tcPr>
          <w:p>
            <w:pPr>
              <w:pStyle w:val="12"/>
              <w:jc w:val="both"/>
            </w:pPr>
            <w:r>
              <w:rPr>
                <w:b/>
              </w:rPr>
              <w:t>确定中标候选人名单：</w:t>
            </w:r>
          </w:p>
          <w:p>
            <w:pPr>
              <w:pStyle w:val="12"/>
              <w:jc w:val="both"/>
            </w:pPr>
          </w:p>
          <w:p>
            <w:pPr>
              <w:pStyle w:val="12"/>
              <w:jc w:val="both"/>
            </w:pPr>
            <w:r>
              <w:rPr>
                <w:b/>
              </w:rPr>
              <w:t>采购包1：1名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1" w:type="dxa"/>
          </w:tcPr>
          <w:p>
            <w:pPr>
              <w:pStyle w:val="12"/>
              <w:jc w:val="both"/>
            </w:pPr>
            <w:r>
              <w:rPr>
                <w:b/>
              </w:rPr>
              <w:t>6</w:t>
            </w:r>
          </w:p>
        </w:tc>
        <w:tc>
          <w:tcPr>
            <w:tcW w:w="1964" w:type="dxa"/>
          </w:tcPr>
          <w:p>
            <w:pPr>
              <w:pStyle w:val="12"/>
              <w:jc w:val="both"/>
            </w:pPr>
            <w:r>
              <w:rPr>
                <w:b/>
              </w:rPr>
              <w:t>12.2</w:t>
            </w:r>
          </w:p>
        </w:tc>
        <w:tc>
          <w:tcPr>
            <w:tcW w:w="5212" w:type="dxa"/>
          </w:tcPr>
          <w:p>
            <w:pPr>
              <w:pStyle w:val="12"/>
              <w:jc w:val="both"/>
            </w:pPr>
            <w:r>
              <w:rPr>
                <w:b/>
              </w:rPr>
              <w:t>本项目中标人的确定（以采购包为单位）：</w:t>
            </w:r>
          </w:p>
          <w:p>
            <w:pPr>
              <w:pStyle w:val="12"/>
              <w:jc w:val="both"/>
            </w:pPr>
            <w:r>
              <w:rPr>
                <w:b/>
              </w:rPr>
              <w:t>（1）采购人应在政府采购招投标管理办法规定的时限内确定中标人。</w:t>
            </w:r>
          </w:p>
          <w:p>
            <w:pPr>
              <w:pStyle w:val="12"/>
              <w:jc w:val="both"/>
            </w:pPr>
            <w:r>
              <w:rPr>
                <w:b/>
              </w:rPr>
              <w:t>（2）若出现中标候选人并列情形，则按照下列方式确定中标人：</w:t>
            </w:r>
          </w:p>
          <w:p>
            <w:pPr>
              <w:pStyle w:val="12"/>
              <w:jc w:val="both"/>
            </w:pPr>
            <w:r>
              <w:rPr>
                <w:b/>
              </w:rPr>
              <w:t>①招标文件规定的方式：</w:t>
            </w:r>
          </w:p>
          <w:p>
            <w:pPr>
              <w:pStyle w:val="12"/>
              <w:jc w:val="both"/>
            </w:pPr>
            <w:r>
              <w:rPr>
                <w:b/>
              </w:rPr>
              <w:t>无</w:t>
            </w:r>
          </w:p>
          <w:p>
            <w:pPr>
              <w:pStyle w:val="12"/>
              <w:jc w:val="both"/>
            </w:pPr>
            <w:r>
              <w:rPr>
                <w:b/>
              </w:rPr>
              <w:t>②若本款第①点规定方式为“无”，则按照下列方式确定：</w:t>
            </w:r>
          </w:p>
          <w:p>
            <w:pPr>
              <w:pStyle w:val="12"/>
              <w:jc w:val="both"/>
            </w:pPr>
            <w:r>
              <w:rPr>
                <w:b/>
              </w:rPr>
              <w:t>无</w:t>
            </w:r>
          </w:p>
          <w:p>
            <w:pPr>
              <w:pStyle w:val="12"/>
              <w:jc w:val="both"/>
            </w:pPr>
            <w:r>
              <w:rPr>
                <w:b/>
              </w:rPr>
              <w:t>③若本款第①、②点规定方式均为“无”，则按照下列方式确定：随机抽取。</w:t>
            </w:r>
          </w:p>
          <w:p>
            <w:pPr>
              <w:pStyle w:val="12"/>
              <w:jc w:val="both"/>
            </w:pPr>
            <w:r>
              <w:rPr>
                <w:b/>
              </w:rPr>
              <w:t>（3）本项目确定的中标人家数：</w:t>
            </w:r>
          </w:p>
          <w:p>
            <w:pPr>
              <w:pStyle w:val="12"/>
              <w:jc w:val="both"/>
            </w:pPr>
          </w:p>
          <w:p>
            <w:pPr>
              <w:pStyle w:val="12"/>
              <w:jc w:val="both"/>
            </w:pPr>
            <w:r>
              <w:rPr>
                <w:b/>
              </w:rPr>
              <w:t>采购包1：1名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1" w:type="dxa"/>
          </w:tcPr>
          <w:p>
            <w:pPr>
              <w:pStyle w:val="12"/>
              <w:jc w:val="both"/>
            </w:pPr>
            <w:r>
              <w:rPr>
                <w:b/>
              </w:rPr>
              <w:t>7</w:t>
            </w:r>
          </w:p>
        </w:tc>
        <w:tc>
          <w:tcPr>
            <w:tcW w:w="1964" w:type="dxa"/>
          </w:tcPr>
          <w:p>
            <w:pPr>
              <w:pStyle w:val="12"/>
              <w:jc w:val="both"/>
            </w:pPr>
            <w:r>
              <w:rPr>
                <w:b/>
              </w:rPr>
              <w:t>13.2</w:t>
            </w:r>
          </w:p>
        </w:tc>
        <w:tc>
          <w:tcPr>
            <w:tcW w:w="5212" w:type="dxa"/>
          </w:tcPr>
          <w:p>
            <w:pPr>
              <w:pStyle w:val="12"/>
              <w:jc w:val="both"/>
            </w:pPr>
            <w:r>
              <w:rPr>
                <w:b/>
              </w:rPr>
              <w:t>合同签订时限：自中标通知书发出之日起30个日历日内。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1" w:type="dxa"/>
          </w:tcPr>
          <w:p>
            <w:pPr>
              <w:pStyle w:val="12"/>
              <w:jc w:val="both"/>
            </w:pPr>
            <w:r>
              <w:rPr>
                <w:b/>
              </w:rPr>
              <w:t>8</w:t>
            </w:r>
          </w:p>
        </w:tc>
        <w:tc>
          <w:tcPr>
            <w:tcW w:w="1964" w:type="dxa"/>
          </w:tcPr>
          <w:p>
            <w:pPr>
              <w:pStyle w:val="12"/>
              <w:jc w:val="both"/>
            </w:pPr>
            <w:r>
              <w:rPr>
                <w:b/>
              </w:rPr>
              <w:t>15.1-（2）</w:t>
            </w:r>
          </w:p>
        </w:tc>
        <w:tc>
          <w:tcPr>
            <w:tcW w:w="5212" w:type="dxa"/>
          </w:tcPr>
          <w:p>
            <w:pPr>
              <w:pStyle w:val="12"/>
              <w:jc w:val="both"/>
            </w:pPr>
            <w:r>
              <w:rPr>
                <w:b/>
              </w:rPr>
              <w:t>质疑函原件应采用下列方式提交：书面形式。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1" w:type="dxa"/>
          </w:tcPr>
          <w:p>
            <w:pPr>
              <w:pStyle w:val="12"/>
              <w:jc w:val="both"/>
            </w:pPr>
            <w:r>
              <w:rPr>
                <w:b/>
              </w:rPr>
              <w:t>9</w:t>
            </w:r>
          </w:p>
        </w:tc>
        <w:tc>
          <w:tcPr>
            <w:tcW w:w="1964" w:type="dxa"/>
          </w:tcPr>
          <w:p>
            <w:pPr>
              <w:pStyle w:val="12"/>
              <w:jc w:val="both"/>
            </w:pPr>
            <w:r>
              <w:rPr>
                <w:b/>
              </w:rPr>
              <w:t>15.4</w:t>
            </w:r>
          </w:p>
        </w:tc>
        <w:tc>
          <w:tcPr>
            <w:tcW w:w="5212" w:type="dxa"/>
          </w:tcPr>
          <w:p>
            <w:pPr>
              <w:pStyle w:val="12"/>
              <w:jc w:val="both"/>
            </w:pPr>
            <w:r>
              <w:rPr>
                <w:b/>
              </w:rPr>
              <w:t>招标文件的质疑</w:t>
            </w:r>
          </w:p>
          <w:p>
            <w:pPr>
              <w:pStyle w:val="12"/>
              <w:jc w:val="both"/>
            </w:pPr>
            <w:r>
              <w:rPr>
                <w:b/>
              </w:rPr>
              <w:t>（1）潜在投标人可在质疑时效期间内对招标文件以书面形式提出质疑。</w:t>
            </w:r>
          </w:p>
          <w:p>
            <w:pPr>
              <w:pStyle w:val="12"/>
              <w:jc w:val="both"/>
            </w:pPr>
            <w:r>
              <w:rPr>
                <w:b/>
              </w:rPr>
              <w:t>（2）质疑时效期间：应在依法获取招标文件之日起7个工作日内向{代理机构}提出，依法获取招标文件的时间以福建省政府采购网上公开信息系统记载的为准。</w:t>
            </w:r>
          </w:p>
          <w:p>
            <w:pPr>
              <w:pStyle w:val="12"/>
              <w:jc w:val="both"/>
            </w:pPr>
            <w:r>
              <w:rPr>
                <w:b/>
              </w:rPr>
              <w:t>※除上述规定外，对招标文件提出的质疑还应符合招标文件第三章第15.1条的有关规定。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1" w:type="dxa"/>
          </w:tcPr>
          <w:p>
            <w:pPr>
              <w:pStyle w:val="12"/>
              <w:jc w:val="both"/>
            </w:pPr>
            <w:r>
              <w:rPr>
                <w:b/>
              </w:rPr>
              <w:t>10</w:t>
            </w:r>
          </w:p>
        </w:tc>
        <w:tc>
          <w:tcPr>
            <w:tcW w:w="1964" w:type="dxa"/>
          </w:tcPr>
          <w:p>
            <w:pPr>
              <w:pStyle w:val="12"/>
              <w:jc w:val="both"/>
            </w:pPr>
            <w:r>
              <w:rPr>
                <w:b/>
              </w:rPr>
              <w:t>16.1</w:t>
            </w:r>
          </w:p>
        </w:tc>
        <w:tc>
          <w:tcPr>
            <w:tcW w:w="5212" w:type="dxa"/>
          </w:tcPr>
          <w:p>
            <w:pPr>
              <w:pStyle w:val="12"/>
              <w:jc w:val="both"/>
            </w:pPr>
            <w:r>
              <w:rPr>
                <w:b/>
              </w:rPr>
              <w:t>监督管理部门：</w:t>
            </w:r>
            <w:r>
              <w:rPr>
                <w:rFonts w:hint="eastAsia"/>
                <w:b/>
                <w:lang w:eastAsia="zh-CN"/>
              </w:rPr>
              <w:t>福建钰超建设工程有限公司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1" w:type="dxa"/>
          </w:tcPr>
          <w:p>
            <w:pPr>
              <w:pStyle w:val="12"/>
              <w:jc w:val="both"/>
            </w:pPr>
            <w:r>
              <w:rPr>
                <w:b/>
              </w:rPr>
              <w:t>11</w:t>
            </w:r>
          </w:p>
        </w:tc>
        <w:tc>
          <w:tcPr>
            <w:tcW w:w="1964" w:type="dxa"/>
          </w:tcPr>
          <w:p>
            <w:pPr>
              <w:pStyle w:val="12"/>
              <w:jc w:val="both"/>
            </w:pPr>
            <w:r>
              <w:rPr>
                <w:b/>
              </w:rPr>
              <w:t>18.1</w:t>
            </w:r>
          </w:p>
        </w:tc>
        <w:tc>
          <w:tcPr>
            <w:tcW w:w="5212" w:type="dxa"/>
          </w:tcPr>
          <w:p>
            <w:pPr>
              <w:pStyle w:val="12"/>
              <w:jc w:val="both"/>
              <w:rPr>
                <w:rFonts w:hint="eastAsia"/>
                <w:b/>
                <w:bCs/>
              </w:rPr>
            </w:pPr>
            <w:r>
              <w:rPr>
                <w:rFonts w:hint="eastAsia"/>
                <w:b/>
                <w:bCs/>
              </w:rPr>
              <w:t>信息公告指定媒体（以下简称：“指定媒体”）：</w:t>
            </w:r>
          </w:p>
          <w:p>
            <w:pPr>
              <w:pStyle w:val="12"/>
              <w:jc w:val="both"/>
              <w:rPr>
                <w:rFonts w:hint="eastAsia"/>
              </w:rPr>
            </w:pPr>
            <w:r>
              <w:rPr>
                <w:rFonts w:hint="eastAsia"/>
              </w:rPr>
              <w:t>福建省国资采购平台网址：https://ygcg.fjcqjy.com/。</w:t>
            </w:r>
          </w:p>
          <w:p>
            <w:pPr>
              <w:pStyle w:val="12"/>
              <w:jc w:val="both"/>
              <w:rPr>
                <w:rFonts w:hint="eastAsia"/>
              </w:rPr>
            </w:pPr>
            <w:r>
              <w:fldChar w:fldCharType="begin"/>
            </w:r>
            <w:r>
              <w:instrText xml:space="preserve"> HYPERLINK "http://www.ndcqjy.com/cn/cggglist/950" </w:instrText>
            </w:r>
            <w:r>
              <w:fldChar w:fldCharType="separate"/>
            </w:r>
            <w:r>
              <w:t xml:space="preserve"> 宁德市有信产权交易服务有限公司 </w:t>
            </w:r>
            <w:r>
              <w:rPr>
                <w:rFonts w:hint="eastAsia"/>
                <w:lang w:val="en-US" w:eastAsia="zh-CN"/>
              </w:rPr>
              <w:t xml:space="preserve">                </w:t>
            </w:r>
            <w:r>
              <w:t>本站网址：</w:t>
            </w:r>
            <w:r>
              <w:rPr>
                <w:rFonts w:hint="eastAsia"/>
              </w:rPr>
              <w:fldChar w:fldCharType="begin"/>
            </w:r>
            <w:r>
              <w:rPr>
                <w:rFonts w:hint="eastAsia"/>
              </w:rPr>
              <w:instrText xml:space="preserve"> HYPERLINK "http://www.ndcqjy.com/" </w:instrText>
            </w:r>
            <w:r>
              <w:rPr>
                <w:rFonts w:hint="eastAsia"/>
              </w:rPr>
              <w:fldChar w:fldCharType="separate"/>
            </w:r>
            <w:r>
              <w:rPr>
                <w:rFonts w:hint="eastAsia"/>
              </w:rPr>
              <w:t>http://www.ndcqjy.com/</w:t>
            </w:r>
            <w:r>
              <w:rPr>
                <w:rFonts w:hint="eastAsia"/>
              </w:rPr>
              <w:fldChar w:fldCharType="end"/>
            </w:r>
            <w:r>
              <w:rPr>
                <w:rFonts w:hint="eastAsia"/>
              </w:rPr>
              <w:t>  </w:t>
            </w:r>
            <w:r>
              <w:fldChar w:fldCharType="end"/>
            </w:r>
            <w:r>
              <w:t>。</w:t>
            </w:r>
          </w:p>
          <w:p>
            <w:pPr>
              <w:pStyle w:val="12"/>
              <w:jc w:val="both"/>
            </w:pPr>
            <w:r>
              <w:t xml:space="preserve"> ※上述指定媒体的有关信息若不一致，应以宁德市有信产权交易服务有限公司平台发布的为准。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1" w:type="dxa"/>
          </w:tcPr>
          <w:p>
            <w:pPr>
              <w:pStyle w:val="12"/>
              <w:jc w:val="both"/>
            </w:pPr>
            <w:r>
              <w:rPr>
                <w:b/>
              </w:rPr>
              <w:t>12</w:t>
            </w:r>
          </w:p>
        </w:tc>
        <w:tc>
          <w:tcPr>
            <w:tcW w:w="1964" w:type="dxa"/>
          </w:tcPr>
          <w:p>
            <w:pPr>
              <w:pStyle w:val="12"/>
              <w:jc w:val="both"/>
            </w:pPr>
            <w:r>
              <w:rPr>
                <w:b/>
              </w:rPr>
              <w:t>19</w:t>
            </w:r>
          </w:p>
        </w:tc>
        <w:tc>
          <w:tcPr>
            <w:tcW w:w="5212" w:type="dxa"/>
          </w:tcPr>
          <w:p>
            <w:pPr>
              <w:pStyle w:val="12"/>
              <w:jc w:val="both"/>
            </w:pPr>
            <w:r>
              <w:rPr>
                <w:b/>
              </w:rPr>
              <w:t>其他事项：</w:t>
            </w:r>
          </w:p>
          <w:p>
            <w:pPr>
              <w:pStyle w:val="12"/>
              <w:jc w:val="both"/>
            </w:pPr>
            <w:r>
              <w:rPr>
                <w:b/>
              </w:rPr>
              <w:t>(1)本项目代理服务费：</w:t>
            </w:r>
          </w:p>
          <w:p>
            <w:pPr>
              <w:pStyle w:val="12"/>
              <w:jc w:val="both"/>
            </w:pPr>
            <w:r>
              <w:rPr>
                <w:b/>
              </w:rPr>
              <w:t>代理服务费用收取对象：中标/成交供应商</w:t>
            </w:r>
          </w:p>
          <w:p>
            <w:pPr>
              <w:pStyle w:val="12"/>
              <w:jc w:val="both"/>
              <w:rPr>
                <w:rFonts w:hint="default" w:eastAsiaTheme="minorEastAsia"/>
                <w:lang w:val="en-US" w:eastAsia="zh-CN"/>
              </w:rPr>
            </w:pPr>
            <w:r>
              <w:rPr>
                <w:b/>
              </w:rPr>
              <w:t>代理服务费收费标准：本项目招标代理服务费由中标人支付，招标文件内若有冲突条款的，以本条规定为准。B、代理服务费收费标准：以中标金额作为计算基数，按差额定率累进法计算收取代理服务费。收费费率标准如下：中标金额在100万元以下的部分，收费费率标准1.5%；中标金额在100 -500万元的部分，收费费率标准1.1%；金额在</w:t>
            </w:r>
            <w:r>
              <w:rPr>
                <w:rFonts w:hint="eastAsia"/>
                <w:b/>
                <w:lang w:val="en-US" w:eastAsia="zh-CN"/>
              </w:rPr>
              <w:t>500</w:t>
            </w:r>
            <w:r>
              <w:rPr>
                <w:b/>
              </w:rPr>
              <w:t xml:space="preserve"> -</w:t>
            </w:r>
            <w:r>
              <w:rPr>
                <w:rFonts w:hint="eastAsia"/>
                <w:b/>
                <w:lang w:val="en-US" w:eastAsia="zh-CN"/>
              </w:rPr>
              <w:t>1000</w:t>
            </w:r>
            <w:r>
              <w:rPr>
                <w:b/>
              </w:rPr>
              <w:t>万元的部分，收费费率标准</w:t>
            </w:r>
            <w:r>
              <w:rPr>
                <w:rFonts w:hint="eastAsia"/>
                <w:b/>
                <w:lang w:val="en-US" w:eastAsia="zh-CN"/>
              </w:rPr>
              <w:t>0.8</w:t>
            </w:r>
            <w:r>
              <w:rPr>
                <w:b/>
              </w:rPr>
              <w:t>%；</w:t>
            </w:r>
            <w:r>
              <w:rPr>
                <w:rFonts w:hint="eastAsia"/>
                <w:b/>
                <w:lang w:val="en-US" w:eastAsia="zh-CN"/>
              </w:rPr>
              <w:t>1000-5000</w:t>
            </w:r>
            <w:r>
              <w:rPr>
                <w:b/>
              </w:rPr>
              <w:t>万元的部分收费费率标准</w:t>
            </w:r>
            <w:r>
              <w:rPr>
                <w:rFonts w:hint="eastAsia"/>
                <w:b/>
                <w:lang w:val="en-US" w:eastAsia="zh-CN"/>
              </w:rPr>
              <w:t>0.5</w:t>
            </w:r>
            <w:r>
              <w:rPr>
                <w:b/>
              </w:rPr>
              <w:t>%；</w:t>
            </w:r>
          </w:p>
          <w:p>
            <w:pPr>
              <w:pStyle w:val="12"/>
              <w:jc w:val="both"/>
            </w:pPr>
            <w:r>
              <w:rPr>
                <w:b/>
              </w:rPr>
              <w:t>(2)其他：</w:t>
            </w:r>
          </w:p>
          <w:p>
            <w:pPr>
              <w:pStyle w:val="12"/>
              <w:jc w:val="both"/>
            </w:pPr>
            <w:r>
              <w:rPr>
                <w:b/>
              </w:rPr>
              <w:t>（1）投标人属于小微企业且其主营业务所属行业与采购标的所属行业一致时，才能享受价格扣除优惠政策。（2）开 标时，如个别投标人的投标报价过低，或投标人的投标报价 明显低于其它通过符合性审查投标人的报价，评标时，评标委员会将对价格合理 性进行评估，有可能影响产品质量或者不能诚信履约的，根据《政府采购货物和 服务招标投标管理办法》（财政部令第87号）第六十条的规定，评标委员会应当要求投标人在评标现场合理的时间内（一般在接到通知的半小时内）提供书面说 明，必要时还应要求其一并提交有关证明材料；投标人在规定的时间内不能证明 其报价合理性的，评标委员会应将其作为无效投标处理。建议投标人提前评估其 报价的合理性，提早准备相应材料，以便出现上述情形时能在规定时间内提供。</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095" w:type="dxa"/>
            <w:gridSpan w:val="2"/>
          </w:tcPr>
          <w:p>
            <w:pPr>
              <w:pStyle w:val="12"/>
              <w:jc w:val="both"/>
            </w:pPr>
            <w:r>
              <w:rPr>
                <w:b/>
              </w:rPr>
              <w:t>备注</w:t>
            </w:r>
          </w:p>
        </w:tc>
        <w:tc>
          <w:tcPr>
            <w:tcW w:w="5212" w:type="dxa"/>
          </w:tcPr>
          <w:p>
            <w:pPr>
              <w:pStyle w:val="12"/>
              <w:jc w:val="both"/>
            </w:pPr>
          </w:p>
        </w:tc>
      </w:tr>
    </w:tbl>
    <w:p>
      <w:pPr>
        <w:pStyle w:val="12"/>
        <w:jc w:val="both"/>
      </w:pPr>
    </w:p>
    <w:p>
      <w:pPr>
        <w:pStyle w:val="12"/>
        <w:jc w:val="both"/>
      </w:pPr>
    </w:p>
    <w:p>
      <w:pPr>
        <w:pStyle w:val="12"/>
        <w:jc w:val="both"/>
      </w:pPr>
    </w:p>
    <w:p>
      <w:pPr>
        <w:pStyle w:val="12"/>
        <w:jc w:val="both"/>
      </w:pPr>
    </w:p>
    <w:p>
      <w:pPr>
        <w:pStyle w:val="12"/>
        <w:jc w:val="both"/>
      </w:pPr>
      <w:r>
        <w:rPr>
          <w:b/>
        </w:rPr>
        <w:t xml:space="preserve"> </w:t>
      </w:r>
    </w:p>
    <w:p>
      <w:pPr>
        <w:pStyle w:val="12"/>
        <w:jc w:val="center"/>
        <w:outlineLvl w:val="1"/>
      </w:pPr>
      <w:r>
        <w:rPr>
          <w:b/>
          <w:sz w:val="36"/>
        </w:rPr>
        <w:t>第三章 投标人须知</w:t>
      </w:r>
    </w:p>
    <w:p>
      <w:pPr>
        <w:pStyle w:val="12"/>
        <w:ind w:firstLine="480"/>
        <w:jc w:val="both"/>
        <w:outlineLvl w:val="2"/>
      </w:pPr>
      <w:r>
        <w:rPr>
          <w:b/>
          <w:sz w:val="28"/>
        </w:rPr>
        <w:t>一、总则</w:t>
      </w:r>
    </w:p>
    <w:p>
      <w:pPr>
        <w:pStyle w:val="12"/>
        <w:ind w:firstLine="480"/>
        <w:jc w:val="both"/>
      </w:pPr>
      <w:r>
        <w:rPr>
          <w:b/>
        </w:rPr>
        <w:t>1、适用范围</w:t>
      </w:r>
    </w:p>
    <w:p>
      <w:pPr>
        <w:pStyle w:val="12"/>
        <w:ind w:firstLine="480"/>
        <w:jc w:val="both"/>
      </w:pPr>
      <w:r>
        <w:rPr>
          <w:b/>
        </w:rPr>
        <w:t>1.1适用于招标文件载明项目的政府采购活动（以下简称：“本次采购活动”）。</w:t>
      </w:r>
    </w:p>
    <w:p>
      <w:pPr>
        <w:pStyle w:val="12"/>
        <w:ind w:firstLine="480"/>
        <w:jc w:val="both"/>
      </w:pPr>
      <w:r>
        <w:rPr>
          <w:b/>
        </w:rPr>
        <w:t>2、定义</w:t>
      </w:r>
    </w:p>
    <w:p>
      <w:pPr>
        <w:pStyle w:val="12"/>
        <w:ind w:firstLine="480"/>
        <w:jc w:val="both"/>
      </w:pPr>
      <w:r>
        <w:rPr>
          <w:b/>
        </w:rPr>
        <w:t>2.1“采购标的”指招标文件载明的需要采购的货物或服务。</w:t>
      </w:r>
    </w:p>
    <w:p>
      <w:pPr>
        <w:pStyle w:val="12"/>
        <w:ind w:firstLine="480"/>
        <w:jc w:val="both"/>
      </w:pPr>
      <w:r>
        <w:rPr>
          <w:b/>
        </w:rPr>
        <w:t>2.2“潜在投标人”指按照招标文件第一章第7条规定获取招标文件且有意向参加本项目投标的供应商。</w:t>
      </w:r>
    </w:p>
    <w:p>
      <w:pPr>
        <w:pStyle w:val="12"/>
        <w:ind w:firstLine="480"/>
        <w:jc w:val="both"/>
      </w:pPr>
      <w:r>
        <w:rPr>
          <w:b/>
        </w:rPr>
        <w:t>2.3“投标人”指按照招标文件第一章第7条规定获取招标文件并参加本项目投标的供应商。</w:t>
      </w:r>
    </w:p>
    <w:p>
      <w:pPr>
        <w:pStyle w:val="12"/>
        <w:ind w:firstLine="480"/>
        <w:jc w:val="both"/>
      </w:pPr>
      <w:r>
        <w:rPr>
          <w:b/>
        </w:rPr>
        <w:t>2.4“单位负责人”指单位法定代表人或法律、法规规定代表单位行使职权的主要负责人。</w:t>
      </w:r>
    </w:p>
    <w:p>
      <w:pPr>
        <w:pStyle w:val="12"/>
        <w:ind w:firstLine="480"/>
        <w:jc w:val="both"/>
      </w:pPr>
      <w:r>
        <w:rPr>
          <w:b/>
        </w:rPr>
        <w:t>2.5“投标人代表”指投标人的单位负责人或“单位负责人授权书”中载明的接受授权方。</w:t>
      </w:r>
    </w:p>
    <w:p>
      <w:pPr>
        <w:pStyle w:val="12"/>
        <w:ind w:firstLine="480"/>
        <w:jc w:val="both"/>
        <w:outlineLvl w:val="2"/>
      </w:pPr>
      <w:r>
        <w:rPr>
          <w:b/>
          <w:sz w:val="28"/>
        </w:rPr>
        <w:t>二、投标人</w:t>
      </w:r>
    </w:p>
    <w:p>
      <w:pPr>
        <w:pStyle w:val="12"/>
        <w:ind w:firstLine="480"/>
        <w:jc w:val="both"/>
      </w:pPr>
      <w:r>
        <w:rPr>
          <w:b/>
        </w:rPr>
        <w:t>3、合格投标人</w:t>
      </w:r>
    </w:p>
    <w:p>
      <w:pPr>
        <w:pStyle w:val="12"/>
        <w:ind w:firstLine="480"/>
        <w:jc w:val="both"/>
      </w:pPr>
      <w:r>
        <w:rPr>
          <w:b/>
        </w:rPr>
        <w:t>3.1一般规定</w:t>
      </w:r>
    </w:p>
    <w:p>
      <w:pPr>
        <w:pStyle w:val="12"/>
        <w:ind w:firstLine="480"/>
        <w:jc w:val="both"/>
      </w:pPr>
      <w:r>
        <w:rPr>
          <w:b/>
        </w:rPr>
        <w:t>（1）投标人应遵守政府采购法及实施条例、政府采购招投标管理办法、政府采购质疑和投诉办法及财政部、福建省财政厅有关政府采购文件的规定，同时还应遵守有关法律、法规和规章的强制性规定。</w:t>
      </w:r>
    </w:p>
    <w:p>
      <w:pPr>
        <w:pStyle w:val="12"/>
        <w:ind w:firstLine="480"/>
        <w:jc w:val="both"/>
      </w:pPr>
      <w:r>
        <w:rPr>
          <w:b/>
        </w:rPr>
        <w:t>（2）投标人的资格要求：详见招标文件第一章。</w:t>
      </w:r>
    </w:p>
    <w:p>
      <w:pPr>
        <w:pStyle w:val="12"/>
        <w:ind w:firstLine="480"/>
        <w:jc w:val="both"/>
      </w:pPr>
      <w:r>
        <w:rPr>
          <w:b/>
        </w:rPr>
        <w:t>3.2若本项目接受联合体投标且投标人为联合体，则联合体各方应遵守本章第3.1条规定，同时还应遵守下列规定：</w:t>
      </w:r>
    </w:p>
    <w:p>
      <w:pPr>
        <w:pStyle w:val="12"/>
        <w:ind w:firstLine="480"/>
        <w:jc w:val="both"/>
      </w:pPr>
      <w:r>
        <w:rPr>
          <w:b/>
        </w:rPr>
        <w:t>（1）联合体各方应提交联合体协议，联合体协议应符合招标文件规定。</w:t>
      </w:r>
    </w:p>
    <w:p>
      <w:pPr>
        <w:pStyle w:val="12"/>
        <w:ind w:firstLine="480"/>
        <w:jc w:val="both"/>
      </w:pPr>
      <w:r>
        <w:rPr>
          <w:b/>
        </w:rPr>
        <w:t>（2）联合体各方不得再单独参加或与其他供应商另外组成联合体参加同一合同项下的投标。</w:t>
      </w:r>
    </w:p>
    <w:p>
      <w:pPr>
        <w:pStyle w:val="12"/>
        <w:ind w:firstLine="480"/>
        <w:jc w:val="both"/>
      </w:pPr>
      <w:r>
        <w:rPr>
          <w:b/>
        </w:rPr>
        <w:t>（3）联合体各方应共同与采购人签订政府采购合同，就政府采购合同约定的事项对采购人承担连带责任。</w:t>
      </w:r>
    </w:p>
    <w:p>
      <w:pPr>
        <w:pStyle w:val="12"/>
        <w:ind w:firstLine="480"/>
        <w:jc w:val="both"/>
      </w:pPr>
      <w:r>
        <w:rPr>
          <w:b/>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pPr>
        <w:pStyle w:val="12"/>
        <w:ind w:firstLine="480"/>
        <w:jc w:val="both"/>
      </w:pPr>
      <w:r>
        <w:rPr>
          <w:b/>
        </w:rPr>
        <w:t>（5）联合体一方放弃中标的，视为联合体整体放弃中标，联合体各方承担连带责任。</w:t>
      </w:r>
    </w:p>
    <w:p>
      <w:pPr>
        <w:pStyle w:val="12"/>
        <w:ind w:firstLine="480"/>
        <w:jc w:val="both"/>
      </w:pPr>
      <w:r>
        <w:rPr>
          <w:b/>
        </w:rPr>
        <w:t>（6）如本项目不接受联合体投标而投标人为联合体的，或者本项目接受联合体投标但投标人组成的联合体不符合本章第3.2条规定的，投标无效。</w:t>
      </w:r>
    </w:p>
    <w:p>
      <w:pPr>
        <w:pStyle w:val="12"/>
        <w:ind w:firstLine="480"/>
        <w:jc w:val="both"/>
      </w:pPr>
      <w:r>
        <w:rPr>
          <w:b/>
        </w:rPr>
        <w:t>4、投标费用</w:t>
      </w:r>
    </w:p>
    <w:p>
      <w:pPr>
        <w:pStyle w:val="12"/>
        <w:ind w:firstLine="480"/>
        <w:jc w:val="both"/>
      </w:pPr>
      <w:r>
        <w:rPr>
          <w:b/>
        </w:rPr>
        <w:t>4.1除招标文件另有规定外，投标人应自行承担其参加本项目投标所涉及的一切费用。</w:t>
      </w:r>
    </w:p>
    <w:p>
      <w:pPr>
        <w:pStyle w:val="12"/>
        <w:ind w:firstLine="480"/>
        <w:jc w:val="both"/>
        <w:outlineLvl w:val="2"/>
      </w:pPr>
      <w:r>
        <w:rPr>
          <w:b/>
          <w:sz w:val="28"/>
        </w:rPr>
        <w:t>三、招标</w:t>
      </w:r>
    </w:p>
    <w:p>
      <w:pPr>
        <w:pStyle w:val="12"/>
        <w:ind w:firstLine="480"/>
        <w:jc w:val="both"/>
      </w:pPr>
      <w:r>
        <w:rPr>
          <w:b/>
        </w:rPr>
        <w:t>5、招标文件</w:t>
      </w:r>
    </w:p>
    <w:p>
      <w:pPr>
        <w:pStyle w:val="12"/>
        <w:ind w:firstLine="480"/>
        <w:jc w:val="both"/>
      </w:pPr>
      <w:r>
        <w:rPr>
          <w:b/>
        </w:rPr>
        <w:t>5.1招标文件由下述部分组成：</w:t>
      </w:r>
    </w:p>
    <w:p>
      <w:pPr>
        <w:pStyle w:val="12"/>
        <w:ind w:firstLine="480"/>
        <w:jc w:val="both"/>
      </w:pPr>
      <w:r>
        <w:rPr>
          <w:b/>
        </w:rPr>
        <w:t>（1）投标邀请</w:t>
      </w:r>
    </w:p>
    <w:p>
      <w:pPr>
        <w:pStyle w:val="12"/>
        <w:ind w:firstLine="480"/>
        <w:jc w:val="both"/>
      </w:pPr>
      <w:r>
        <w:rPr>
          <w:b/>
        </w:rPr>
        <w:t>（2）投标人须知前附表（表1、2）</w:t>
      </w:r>
    </w:p>
    <w:p>
      <w:pPr>
        <w:pStyle w:val="12"/>
        <w:ind w:firstLine="480"/>
        <w:jc w:val="both"/>
      </w:pPr>
      <w:r>
        <w:rPr>
          <w:b/>
        </w:rPr>
        <w:t>（3）投标人须知</w:t>
      </w:r>
    </w:p>
    <w:p>
      <w:pPr>
        <w:pStyle w:val="12"/>
        <w:ind w:firstLine="480"/>
        <w:jc w:val="both"/>
      </w:pPr>
      <w:r>
        <w:rPr>
          <w:b/>
        </w:rPr>
        <w:t>（4）资格审查与评标</w:t>
      </w:r>
    </w:p>
    <w:p>
      <w:pPr>
        <w:pStyle w:val="12"/>
        <w:ind w:firstLine="480"/>
        <w:jc w:val="both"/>
      </w:pPr>
      <w:r>
        <w:rPr>
          <w:b/>
        </w:rPr>
        <w:t>（5）招标内容及要求</w:t>
      </w:r>
    </w:p>
    <w:p>
      <w:pPr>
        <w:pStyle w:val="12"/>
        <w:ind w:firstLine="480"/>
        <w:jc w:val="both"/>
      </w:pPr>
      <w:r>
        <w:rPr>
          <w:b/>
        </w:rPr>
        <w:t>（6）政府采购合同（参考文本）</w:t>
      </w:r>
    </w:p>
    <w:p>
      <w:pPr>
        <w:pStyle w:val="12"/>
        <w:ind w:firstLine="480"/>
        <w:jc w:val="both"/>
      </w:pPr>
      <w:r>
        <w:rPr>
          <w:b/>
        </w:rPr>
        <w:t>（7）电子投标文件格式</w:t>
      </w:r>
    </w:p>
    <w:p>
      <w:pPr>
        <w:pStyle w:val="12"/>
        <w:ind w:firstLine="480"/>
        <w:jc w:val="both"/>
      </w:pPr>
      <w:r>
        <w:rPr>
          <w:b/>
        </w:rPr>
        <w:t>（8）按照招标文件规定作为招标文件组成部分的其他内容（若有）</w:t>
      </w:r>
    </w:p>
    <w:p>
      <w:pPr>
        <w:pStyle w:val="12"/>
        <w:ind w:firstLine="480"/>
        <w:jc w:val="both"/>
      </w:pPr>
      <w:r>
        <w:rPr>
          <w:b/>
        </w:rPr>
        <w:t>5.2招标文件的澄清或修改</w:t>
      </w:r>
    </w:p>
    <w:p>
      <w:pPr>
        <w:pStyle w:val="12"/>
        <w:ind w:firstLine="480"/>
        <w:jc w:val="both"/>
      </w:pPr>
      <w:r>
        <w:rPr>
          <w:b/>
        </w:rPr>
        <w:t>（1）</w:t>
      </w:r>
      <w:r>
        <w:rPr>
          <w:rFonts w:hint="eastAsia"/>
          <w:b/>
          <w:lang w:eastAsia="zh-CN"/>
        </w:rPr>
        <w:t>福建中恒达建设项目管理有限公司</w:t>
      </w:r>
      <w:r>
        <w:rPr>
          <w:b/>
        </w:rPr>
        <w:t>可对已发出的招标文件进行必要的澄清或修改，但不得对招标文件载明的采购标的和投标人的资格要求进行改变。</w:t>
      </w:r>
    </w:p>
    <w:p>
      <w:pPr>
        <w:pStyle w:val="12"/>
        <w:ind w:firstLine="480"/>
        <w:jc w:val="both"/>
      </w:pPr>
      <w:r>
        <w:rPr>
          <w:b/>
        </w:rPr>
        <w:t>（2）除本章第5.2条第（3）款规定情形外，澄清或修改的内容可能影响电子投标文件编制的，</w:t>
      </w:r>
      <w:r>
        <w:rPr>
          <w:rFonts w:hint="eastAsia"/>
          <w:b/>
          <w:lang w:eastAsia="zh-CN"/>
        </w:rPr>
        <w:t>福建中恒达建设项目管理有限公司</w:t>
      </w:r>
      <w:r>
        <w:rPr>
          <w:b/>
        </w:rPr>
        <w:t>将在投标截止时间至少15个日历日前，在招标文件载明的指定媒体以更正公告的形式发布澄清或修改的内容。不足15个日历日的，</w:t>
      </w:r>
      <w:r>
        <w:rPr>
          <w:rFonts w:hint="eastAsia"/>
          <w:b/>
          <w:lang w:eastAsia="zh-CN"/>
        </w:rPr>
        <w:t>福建中恒达建设项目管理有限公司</w:t>
      </w:r>
      <w:r>
        <w:rPr>
          <w:b/>
        </w:rPr>
        <w:t>将顺延投标截止时间及开标时间，</w:t>
      </w:r>
      <w:r>
        <w:rPr>
          <w:rFonts w:hint="eastAsia"/>
          <w:b/>
          <w:lang w:eastAsia="zh-CN"/>
        </w:rPr>
        <w:t>福建中恒达建设项目管理有限公司</w:t>
      </w:r>
      <w:r>
        <w:rPr>
          <w:b/>
        </w:rPr>
        <w:t>和投标人受原投标截止时间及开标时间制约的所有权利和义务均延长至新的投标截止时间及开标时间。</w:t>
      </w:r>
    </w:p>
    <w:p>
      <w:pPr>
        <w:pStyle w:val="12"/>
        <w:ind w:firstLine="480"/>
        <w:jc w:val="both"/>
      </w:pPr>
      <w:r>
        <w:rPr>
          <w:b/>
        </w:rPr>
        <w:t>（3）澄清或修改的内容可能改变招标文件载明的采购标的和投标人的资格要求的，本次采购活动结束，</w:t>
      </w:r>
      <w:r>
        <w:rPr>
          <w:rFonts w:hint="eastAsia"/>
          <w:b/>
          <w:lang w:eastAsia="zh-CN"/>
        </w:rPr>
        <w:t>福建中恒达建设项目管理有限公司</w:t>
      </w:r>
      <w:r>
        <w:rPr>
          <w:b/>
        </w:rPr>
        <w:t>将依法组织后续采购活动（包括但不限于：重新招标、采用其他方式采购等）。</w:t>
      </w:r>
    </w:p>
    <w:p>
      <w:pPr>
        <w:pStyle w:val="12"/>
        <w:ind w:firstLine="480"/>
        <w:jc w:val="both"/>
      </w:pPr>
      <w:r>
        <w:rPr>
          <w:b/>
        </w:rPr>
        <w:t>6、现场考察或开标前答疑会</w:t>
      </w:r>
    </w:p>
    <w:p>
      <w:pPr>
        <w:pStyle w:val="12"/>
        <w:ind w:firstLine="480"/>
        <w:jc w:val="both"/>
      </w:pPr>
      <w:r>
        <w:rPr>
          <w:b/>
        </w:rPr>
        <w:t>6.1是否组织现场考察或召开开标前答疑会：详见招标文件第二章。</w:t>
      </w:r>
    </w:p>
    <w:p>
      <w:pPr>
        <w:pStyle w:val="12"/>
        <w:ind w:firstLine="480"/>
        <w:jc w:val="both"/>
      </w:pPr>
      <w:r>
        <w:rPr>
          <w:b/>
        </w:rPr>
        <w:t>7、更正公告</w:t>
      </w:r>
    </w:p>
    <w:p>
      <w:pPr>
        <w:pStyle w:val="12"/>
        <w:ind w:firstLine="480"/>
        <w:jc w:val="both"/>
      </w:pPr>
      <w:r>
        <w:rPr>
          <w:b/>
        </w:rPr>
        <w:t>7.1若</w:t>
      </w:r>
      <w:r>
        <w:rPr>
          <w:rFonts w:hint="eastAsia"/>
          <w:b/>
          <w:lang w:eastAsia="zh-CN"/>
        </w:rPr>
        <w:t>福建中恒达建设项目管理有限公司</w:t>
      </w:r>
      <w:r>
        <w:rPr>
          <w:b/>
        </w:rPr>
        <w:t>发布更正公告，则更正公告及其所发布的内容或信息（包括但不限于：招标文件的澄清或修改、现场考察或答疑会的有关事宜等）作为招标文件组成部分，对投标人具有约束力。</w:t>
      </w:r>
    </w:p>
    <w:p>
      <w:pPr>
        <w:pStyle w:val="12"/>
        <w:ind w:firstLine="480"/>
        <w:jc w:val="both"/>
      </w:pPr>
      <w:r>
        <w:rPr>
          <w:b/>
        </w:rPr>
        <w:t>7.2更正公告作为</w:t>
      </w:r>
      <w:r>
        <w:rPr>
          <w:rFonts w:hint="eastAsia"/>
          <w:b/>
          <w:lang w:eastAsia="zh-CN"/>
        </w:rPr>
        <w:t>福建中恒达建设项目管理有限公司</w:t>
      </w:r>
      <w:r>
        <w:rPr>
          <w:b/>
        </w:rPr>
        <w:t>通知所有潜在投标人的书面形式。</w:t>
      </w:r>
    </w:p>
    <w:p>
      <w:pPr>
        <w:pStyle w:val="12"/>
        <w:ind w:firstLine="480"/>
        <w:jc w:val="both"/>
      </w:pPr>
      <w:r>
        <w:rPr>
          <w:b/>
        </w:rPr>
        <w:t>8、终止公告</w:t>
      </w:r>
    </w:p>
    <w:p>
      <w:pPr>
        <w:pStyle w:val="12"/>
        <w:ind w:firstLine="480"/>
        <w:jc w:val="both"/>
      </w:pPr>
      <w:r>
        <w:rPr>
          <w:b/>
        </w:rPr>
        <w:t>8.1若出现因重大变故导致采购任务取消情形，</w:t>
      </w:r>
      <w:r>
        <w:rPr>
          <w:rFonts w:hint="eastAsia"/>
          <w:b/>
          <w:lang w:eastAsia="zh-CN"/>
        </w:rPr>
        <w:t>福建中恒达建设项目管理有限公司</w:t>
      </w:r>
      <w:r>
        <w:rPr>
          <w:b/>
        </w:rPr>
        <w:t>可终止招标并发布终止公告。</w:t>
      </w:r>
    </w:p>
    <w:p>
      <w:pPr>
        <w:pStyle w:val="12"/>
        <w:ind w:firstLine="480"/>
        <w:jc w:val="both"/>
      </w:pPr>
      <w:r>
        <w:rPr>
          <w:b/>
        </w:rPr>
        <w:t>8.2终止公告作为</w:t>
      </w:r>
      <w:r>
        <w:rPr>
          <w:rFonts w:hint="eastAsia"/>
          <w:b/>
          <w:lang w:eastAsia="zh-CN"/>
        </w:rPr>
        <w:t>福建中恒达建设项目管理有限公司</w:t>
      </w:r>
      <w:r>
        <w:rPr>
          <w:b/>
        </w:rPr>
        <w:t>通知所有潜在投标人的书面形式。</w:t>
      </w:r>
    </w:p>
    <w:p>
      <w:pPr>
        <w:pStyle w:val="12"/>
        <w:ind w:firstLine="480"/>
        <w:jc w:val="both"/>
        <w:outlineLvl w:val="2"/>
      </w:pPr>
      <w:r>
        <w:rPr>
          <w:b/>
          <w:sz w:val="28"/>
        </w:rPr>
        <w:t>四、投标</w:t>
      </w:r>
    </w:p>
    <w:p>
      <w:pPr>
        <w:pStyle w:val="12"/>
        <w:ind w:firstLine="480"/>
        <w:jc w:val="both"/>
      </w:pPr>
      <w:r>
        <w:rPr>
          <w:b/>
        </w:rPr>
        <w:t>9、投标</w:t>
      </w:r>
    </w:p>
    <w:p>
      <w:pPr>
        <w:pStyle w:val="12"/>
        <w:ind w:firstLine="480"/>
        <w:jc w:val="both"/>
      </w:pPr>
      <w:r>
        <w:rPr>
          <w:b/>
        </w:rPr>
        <w:t>9.1投标人可对招标文件载明的全部或部分采购包进行投标。</w:t>
      </w:r>
    </w:p>
    <w:p>
      <w:pPr>
        <w:pStyle w:val="12"/>
        <w:ind w:firstLine="480"/>
        <w:jc w:val="both"/>
      </w:pPr>
      <w:r>
        <w:rPr>
          <w:b/>
        </w:rPr>
        <w:t>9.2投标人应对同一个采购包内的所有内容进行完整投标，否则投标无效。</w:t>
      </w:r>
    </w:p>
    <w:p>
      <w:pPr>
        <w:pStyle w:val="12"/>
        <w:ind w:firstLine="480"/>
        <w:jc w:val="both"/>
      </w:pPr>
      <w:r>
        <w:rPr>
          <w:b/>
        </w:rPr>
        <w:t>9.3投标人代表只能接受一个投标人的授权参加投标，否则投标无效。</w:t>
      </w:r>
    </w:p>
    <w:p>
      <w:pPr>
        <w:pStyle w:val="12"/>
        <w:ind w:firstLine="480"/>
        <w:jc w:val="both"/>
      </w:pPr>
      <w:r>
        <w:rPr>
          <w:b/>
        </w:rPr>
        <w:t>9.4单位负责人为同一人或存在直接控股、管理关系的不同供应商，不得同时参加同一合同项下的投标，否则投标无效。</w:t>
      </w:r>
    </w:p>
    <w:p>
      <w:pPr>
        <w:pStyle w:val="12"/>
        <w:ind w:firstLine="480"/>
        <w:jc w:val="both"/>
      </w:pPr>
      <w:r>
        <w:rPr>
          <w:b/>
        </w:rPr>
        <w:t>9.5为本项目提供整体设计、规范编制或项目管理、监理、检测等服务的供应商，不得参加本项目除整体设计、规范编制和项目管理、监理、检测等服务外的采购活动，否则投标无效。</w:t>
      </w:r>
    </w:p>
    <w:p>
      <w:pPr>
        <w:pStyle w:val="12"/>
        <w:ind w:firstLine="480"/>
        <w:jc w:val="both"/>
      </w:pPr>
      <w:r>
        <w:rPr>
          <w:b/>
        </w:rPr>
        <w:t>9.6列入失信被执行人、重大税收违法案件当事人名单、政府采购严重违法失信行为记录名单及其他不符合政府采购法第二十二条规定条件的供应商，不得参加投标，否则投标无效。</w:t>
      </w:r>
    </w:p>
    <w:p>
      <w:pPr>
        <w:pStyle w:val="12"/>
        <w:ind w:firstLine="480"/>
        <w:jc w:val="both"/>
      </w:pPr>
      <w:r>
        <w:rPr>
          <w:b/>
        </w:rPr>
        <w:t>9.7有下列情形之一的，视为投标人串通投标，其投标无效：</w:t>
      </w:r>
    </w:p>
    <w:p>
      <w:pPr>
        <w:pStyle w:val="12"/>
        <w:ind w:firstLine="480"/>
        <w:jc w:val="both"/>
      </w:pPr>
      <w:r>
        <w:rPr>
          <w:b/>
        </w:rPr>
        <w:t>（1）不同投标人的电子投标文件由同一单位或个人编制；</w:t>
      </w:r>
    </w:p>
    <w:p>
      <w:pPr>
        <w:pStyle w:val="12"/>
        <w:ind w:firstLine="480"/>
        <w:jc w:val="both"/>
      </w:pPr>
      <w:r>
        <w:rPr>
          <w:b/>
        </w:rPr>
        <w:t>（2）不同投标人委托同一单位或个人办理投标事宜；</w:t>
      </w:r>
    </w:p>
    <w:p>
      <w:pPr>
        <w:pStyle w:val="12"/>
        <w:ind w:firstLine="480"/>
        <w:jc w:val="both"/>
      </w:pPr>
      <w:r>
        <w:rPr>
          <w:b/>
        </w:rPr>
        <w:t>（3）不同投标人的电子投标文件载明的项目管理成员或联系人员为同一人；</w:t>
      </w:r>
    </w:p>
    <w:p>
      <w:pPr>
        <w:pStyle w:val="12"/>
        <w:ind w:firstLine="480"/>
        <w:jc w:val="both"/>
      </w:pPr>
      <w:r>
        <w:rPr>
          <w:b/>
        </w:rPr>
        <w:t>（4）不同投标人的电子投标文件异常一致或投标报价呈规律性差异；</w:t>
      </w:r>
    </w:p>
    <w:p>
      <w:pPr>
        <w:pStyle w:val="12"/>
        <w:ind w:firstLine="480"/>
        <w:jc w:val="both"/>
      </w:pPr>
      <w:r>
        <w:rPr>
          <w:b/>
        </w:rPr>
        <w:t>（5）不同投标人的电子投标文件相互混装；</w:t>
      </w:r>
    </w:p>
    <w:p>
      <w:pPr>
        <w:pStyle w:val="12"/>
        <w:ind w:firstLine="480"/>
        <w:jc w:val="both"/>
      </w:pPr>
      <w:r>
        <w:rPr>
          <w:b/>
        </w:rPr>
        <w:t>（6）不同投标人的投标保证金从同一单位或个人的账户转出；</w:t>
      </w:r>
    </w:p>
    <w:p>
      <w:pPr>
        <w:pStyle w:val="12"/>
        <w:ind w:firstLine="480"/>
        <w:jc w:val="both"/>
      </w:pPr>
      <w:r>
        <w:rPr>
          <w:b/>
        </w:rPr>
        <w:t>（7）有关法律、法规和规章及招标文件规定的其他串通投标情形。</w:t>
      </w:r>
    </w:p>
    <w:p>
      <w:pPr>
        <w:pStyle w:val="12"/>
        <w:ind w:firstLine="480"/>
        <w:jc w:val="both"/>
      </w:pPr>
      <w:r>
        <w:rPr>
          <w:b/>
        </w:rPr>
        <w:t>10、电子投标文件</w:t>
      </w:r>
    </w:p>
    <w:p>
      <w:pPr>
        <w:pStyle w:val="12"/>
        <w:ind w:firstLine="480"/>
        <w:jc w:val="both"/>
      </w:pPr>
      <w:r>
        <w:rPr>
          <w:b/>
        </w:rPr>
        <w:t>10.1电子投标文件的编制</w:t>
      </w:r>
    </w:p>
    <w:p>
      <w:pPr>
        <w:pStyle w:val="12"/>
        <w:ind w:firstLine="480"/>
        <w:jc w:val="both"/>
      </w:pPr>
      <w:r>
        <w:rPr>
          <w:b/>
        </w:rPr>
        <w:t>（1）投标人应先仔细阅读招标文件的全部内容后，再进行电子投标文件的编制。</w:t>
      </w:r>
    </w:p>
    <w:p>
      <w:pPr>
        <w:pStyle w:val="12"/>
        <w:ind w:firstLine="480"/>
        <w:jc w:val="both"/>
      </w:pPr>
      <w:r>
        <w:rPr>
          <w:b/>
        </w:rPr>
        <w:t>（2）电子投标文件应按照本章第10.2条规定编制其组成部分。</w:t>
      </w:r>
    </w:p>
    <w:p>
      <w:pPr>
        <w:pStyle w:val="12"/>
        <w:ind w:firstLine="480"/>
        <w:jc w:val="both"/>
      </w:pPr>
      <w:r>
        <w:rPr>
          <w:b/>
        </w:rPr>
        <w:t>（3）电子投标文件应满足招标文件提出的实质性要求和条件，并保证其所提交的全部资料是不可割离且真实、有效、准确、完整和不具有任何误导性的，否则造成不利后果由投标人承担责任。</w:t>
      </w:r>
    </w:p>
    <w:p>
      <w:pPr>
        <w:pStyle w:val="12"/>
        <w:ind w:firstLine="480"/>
        <w:jc w:val="both"/>
      </w:pPr>
      <w:r>
        <w:rPr>
          <w:b/>
        </w:rPr>
        <w:t>10.2电子投标文件由下述部分组成：</w:t>
      </w:r>
    </w:p>
    <w:p>
      <w:pPr>
        <w:pStyle w:val="12"/>
        <w:ind w:firstLine="480"/>
        <w:jc w:val="both"/>
      </w:pPr>
      <w:r>
        <w:rPr>
          <w:b/>
        </w:rPr>
        <w:t>（1）资格及资信证明部分</w:t>
      </w:r>
    </w:p>
    <w:p>
      <w:pPr>
        <w:pStyle w:val="12"/>
        <w:ind w:firstLine="480"/>
        <w:jc w:val="both"/>
      </w:pPr>
      <w:r>
        <w:rPr>
          <w:b/>
        </w:rPr>
        <w:t>①投标函</w:t>
      </w:r>
    </w:p>
    <w:p>
      <w:pPr>
        <w:pStyle w:val="12"/>
        <w:ind w:firstLine="480"/>
        <w:jc w:val="both"/>
      </w:pPr>
      <w:r>
        <w:rPr>
          <w:b/>
        </w:rPr>
        <w:t>②投标人的资格及资信证明文件</w:t>
      </w:r>
    </w:p>
    <w:p>
      <w:pPr>
        <w:pStyle w:val="12"/>
        <w:ind w:firstLine="480"/>
        <w:jc w:val="both"/>
      </w:pPr>
      <w:r>
        <w:rPr>
          <w:b/>
        </w:rPr>
        <w:t>③投标保证金</w:t>
      </w:r>
    </w:p>
    <w:p>
      <w:pPr>
        <w:pStyle w:val="12"/>
        <w:ind w:firstLine="480"/>
        <w:jc w:val="both"/>
      </w:pPr>
      <w:r>
        <w:rPr>
          <w:b/>
        </w:rPr>
        <w:t>（2）报价部分</w:t>
      </w:r>
    </w:p>
    <w:p>
      <w:pPr>
        <w:pStyle w:val="12"/>
        <w:ind w:firstLine="480"/>
        <w:jc w:val="both"/>
      </w:pPr>
      <w:r>
        <w:rPr>
          <w:b/>
        </w:rPr>
        <w:t>①开标一览表</w:t>
      </w:r>
    </w:p>
    <w:p>
      <w:pPr>
        <w:pStyle w:val="12"/>
        <w:ind w:firstLine="480"/>
        <w:jc w:val="both"/>
      </w:pPr>
      <w:r>
        <w:rPr>
          <w:b/>
        </w:rPr>
        <w:t>②投标分项报价表</w:t>
      </w:r>
    </w:p>
    <w:p>
      <w:pPr>
        <w:pStyle w:val="12"/>
        <w:ind w:firstLine="480"/>
        <w:jc w:val="both"/>
      </w:pPr>
      <w:r>
        <w:rPr>
          <w:b/>
        </w:rPr>
        <w:t>③招标文件规定的价格扣除证明材料（若有）</w:t>
      </w:r>
    </w:p>
    <w:p>
      <w:pPr>
        <w:pStyle w:val="12"/>
        <w:ind w:firstLine="480"/>
        <w:jc w:val="both"/>
      </w:pPr>
      <w:r>
        <w:rPr>
          <w:b/>
        </w:rPr>
        <w:t>④招标文件规定的加分证明材料（若有）</w:t>
      </w:r>
    </w:p>
    <w:p>
      <w:pPr>
        <w:pStyle w:val="12"/>
        <w:ind w:firstLine="480"/>
        <w:jc w:val="both"/>
      </w:pPr>
      <w:r>
        <w:rPr>
          <w:b/>
        </w:rPr>
        <w:t>（3）技术商务部分</w:t>
      </w:r>
    </w:p>
    <w:p>
      <w:pPr>
        <w:pStyle w:val="12"/>
        <w:ind w:firstLine="480"/>
        <w:jc w:val="both"/>
      </w:pPr>
      <w:r>
        <w:rPr>
          <w:b/>
        </w:rPr>
        <w:t>①标的说明一览表</w:t>
      </w:r>
    </w:p>
    <w:p>
      <w:pPr>
        <w:pStyle w:val="12"/>
        <w:ind w:firstLine="480"/>
        <w:jc w:val="both"/>
      </w:pPr>
      <w:r>
        <w:rPr>
          <w:b/>
        </w:rPr>
        <w:t>②技术和服务要求响应表</w:t>
      </w:r>
    </w:p>
    <w:p>
      <w:pPr>
        <w:pStyle w:val="12"/>
        <w:ind w:firstLine="480"/>
        <w:jc w:val="both"/>
      </w:pPr>
      <w:r>
        <w:rPr>
          <w:b/>
        </w:rPr>
        <w:t>③商务条件响应表</w:t>
      </w:r>
    </w:p>
    <w:p>
      <w:pPr>
        <w:pStyle w:val="12"/>
        <w:ind w:firstLine="480"/>
        <w:jc w:val="both"/>
      </w:pPr>
      <w:r>
        <w:rPr>
          <w:b/>
        </w:rPr>
        <w:t>④投标人提交的其他资料（若有）</w:t>
      </w:r>
    </w:p>
    <w:p>
      <w:pPr>
        <w:pStyle w:val="12"/>
        <w:ind w:firstLine="480"/>
        <w:jc w:val="both"/>
      </w:pPr>
      <w:r>
        <w:rPr>
          <w:b/>
        </w:rPr>
        <w:t>⑤招标文件规定作为电子投标文件组成部分的其他内容（若有）</w:t>
      </w:r>
    </w:p>
    <w:p>
      <w:pPr>
        <w:pStyle w:val="12"/>
        <w:ind w:firstLine="480"/>
        <w:jc w:val="both"/>
      </w:pPr>
      <w:r>
        <w:rPr>
          <w:b/>
        </w:rPr>
        <w:t>10.3电子投标文件的语言</w:t>
      </w:r>
    </w:p>
    <w:p>
      <w:pPr>
        <w:pStyle w:val="12"/>
        <w:ind w:firstLine="480"/>
        <w:jc w:val="both"/>
      </w:pPr>
      <w:r>
        <w:rPr>
          <w:b/>
        </w:rPr>
        <w:t>（1）除招标文件另有规定外，电子投标文件应使用中文文本，若有不同文本，以中文文本为准。</w:t>
      </w:r>
    </w:p>
    <w:p>
      <w:pPr>
        <w:pStyle w:val="12"/>
        <w:ind w:firstLine="480"/>
        <w:jc w:val="both"/>
      </w:pPr>
      <w:r>
        <w:rPr>
          <w:b/>
        </w:rPr>
        <w:t>（2）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12"/>
        <w:ind w:firstLine="480"/>
        <w:jc w:val="both"/>
      </w:pPr>
      <w:r>
        <w:rPr>
          <w:b/>
        </w:rPr>
        <w:t>10.4投标文件的份数：详见招标文件第二章。</w:t>
      </w:r>
    </w:p>
    <w:p>
      <w:pPr>
        <w:pStyle w:val="12"/>
        <w:ind w:firstLine="480"/>
        <w:jc w:val="both"/>
      </w:pPr>
      <w:r>
        <w:rPr>
          <w:b/>
        </w:rPr>
        <w:t>10.5电子投标文件的格式</w:t>
      </w:r>
    </w:p>
    <w:p>
      <w:pPr>
        <w:pStyle w:val="12"/>
        <w:ind w:firstLine="480"/>
        <w:jc w:val="both"/>
      </w:pPr>
      <w:r>
        <w:rPr>
          <w:b/>
        </w:rPr>
        <w:t>（1）除招标文件另有规定外，电子投标文件应使用招标文件第七章规定的格式。</w:t>
      </w:r>
    </w:p>
    <w:p>
      <w:pPr>
        <w:pStyle w:val="12"/>
        <w:ind w:firstLine="480"/>
        <w:jc w:val="both"/>
      </w:pPr>
      <w:r>
        <w:rPr>
          <w:b/>
        </w:rPr>
        <w:t>（2）除招标文件另有规定外，电子投标文件应使用不能擦去的墨料或墨水打印、书写或复印。</w:t>
      </w:r>
    </w:p>
    <w:p>
      <w:pPr>
        <w:pStyle w:val="12"/>
        <w:ind w:firstLine="480"/>
        <w:jc w:val="both"/>
      </w:pPr>
      <w:r>
        <w:rPr>
          <w:b/>
        </w:rPr>
        <w:t>（3）除招标文件另有规定外，电子投标文件应使用人民币作为计量货币。</w:t>
      </w:r>
    </w:p>
    <w:p>
      <w:pPr>
        <w:pStyle w:val="12"/>
        <w:ind w:firstLine="480"/>
        <w:jc w:val="both"/>
      </w:pPr>
      <w:r>
        <w:rPr>
          <w:b/>
        </w:rPr>
        <w:t>（4）除招标文件另有规定外，签署、盖章应遵守下列规定：</w:t>
      </w:r>
    </w:p>
    <w:p>
      <w:pPr>
        <w:pStyle w:val="12"/>
        <w:ind w:firstLine="480"/>
        <w:jc w:val="both"/>
      </w:pPr>
      <w:r>
        <w:rPr>
          <w:b/>
        </w:rPr>
        <w:t>①电子投标文件应加盖投标人的单位公章。若投标人代表为单位授权的委托代理人，应提供“单位授权书”。</w:t>
      </w:r>
    </w:p>
    <w:p>
      <w:pPr>
        <w:pStyle w:val="12"/>
        <w:ind w:firstLine="480"/>
        <w:jc w:val="both"/>
      </w:pPr>
      <w:r>
        <w:rPr>
          <w:b/>
        </w:rPr>
        <w:t>②电子投标文件应没有涂改或行间插字，除非这些改动是根据</w:t>
      </w:r>
      <w:r>
        <w:rPr>
          <w:rFonts w:hint="eastAsia"/>
          <w:b/>
          <w:lang w:eastAsia="zh-CN"/>
        </w:rPr>
        <w:t>福建中恒达建设项目管理有限公司</w:t>
      </w:r>
      <w:r>
        <w:rPr>
          <w:b/>
        </w:rPr>
        <w:t>的指示进行的，或是为改正投标人造成的应修改的错误而进行的。若有前述改动，应按照下列规定之一对改动处进行处理：</w:t>
      </w:r>
    </w:p>
    <w:p>
      <w:pPr>
        <w:pStyle w:val="12"/>
        <w:ind w:firstLine="480"/>
        <w:jc w:val="both"/>
      </w:pPr>
      <w:r>
        <w:rPr>
          <w:b/>
        </w:rPr>
        <w:t>a.投标人代表签字确认；</w:t>
      </w:r>
    </w:p>
    <w:p>
      <w:pPr>
        <w:pStyle w:val="12"/>
        <w:ind w:firstLine="480"/>
        <w:jc w:val="both"/>
      </w:pPr>
      <w:r>
        <w:rPr>
          <w:b/>
        </w:rPr>
        <w:t>b.加盖投标人的单位公章或校正章。</w:t>
      </w:r>
    </w:p>
    <w:p>
      <w:pPr>
        <w:pStyle w:val="12"/>
        <w:ind w:firstLine="480"/>
        <w:jc w:val="both"/>
      </w:pPr>
      <w:r>
        <w:rPr>
          <w:b/>
        </w:rPr>
        <w:t>10.6投标报价</w:t>
      </w:r>
    </w:p>
    <w:p>
      <w:pPr>
        <w:pStyle w:val="12"/>
        <w:ind w:firstLine="480"/>
        <w:jc w:val="both"/>
      </w:pPr>
      <w:r>
        <w:rPr>
          <w:b/>
        </w:rPr>
        <w:t>（1）投标报价超出最高限价将导致投标无效。</w:t>
      </w:r>
    </w:p>
    <w:p>
      <w:pPr>
        <w:pStyle w:val="12"/>
        <w:ind w:firstLine="480"/>
        <w:jc w:val="both"/>
      </w:pPr>
      <w:r>
        <w:rPr>
          <w:b/>
        </w:rPr>
        <w:t>（2）最高限价由采购人根据价格测算情况，在预算金额的额度内合理设定。最高限价不得超出预算金额。</w:t>
      </w:r>
    </w:p>
    <w:p>
      <w:pPr>
        <w:pStyle w:val="12"/>
        <w:ind w:firstLine="480"/>
        <w:jc w:val="both"/>
      </w:pPr>
      <w:r>
        <w:rPr>
          <w:b/>
        </w:rPr>
        <w:t>（3）除招标文件另有规定外，电子投标文件不能出现任何选择性的投标报价，即每一个采购包和品目号的采购标的都只能有一个投标报价。任何选择性的投标报价将导致投标无效。</w:t>
      </w:r>
    </w:p>
    <w:p>
      <w:pPr>
        <w:pStyle w:val="12"/>
        <w:ind w:firstLine="480"/>
        <w:jc w:val="both"/>
      </w:pPr>
      <w:r>
        <w:rPr>
          <w:b/>
        </w:rPr>
        <w:t>10.7分包</w:t>
      </w:r>
    </w:p>
    <w:p>
      <w:pPr>
        <w:pStyle w:val="12"/>
        <w:ind w:firstLine="480"/>
        <w:jc w:val="both"/>
      </w:pPr>
      <w:r>
        <w:rPr>
          <w:b/>
        </w:rPr>
        <w:t>（1）是否允许中标人将本项目的非主体、非关键性工作进行分包：详见招标文件第二章。</w:t>
      </w:r>
    </w:p>
    <w:p>
      <w:pPr>
        <w:pStyle w:val="12"/>
        <w:ind w:firstLine="480"/>
        <w:jc w:val="both"/>
      </w:pPr>
      <w:r>
        <w:rPr>
          <w:b/>
        </w:rPr>
        <w:t>（2）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pPr>
        <w:pStyle w:val="12"/>
        <w:ind w:firstLine="480"/>
        <w:jc w:val="both"/>
      </w:pPr>
      <w:r>
        <w:rPr>
          <w:b/>
        </w:rPr>
        <w:t>（3）招标文件允许中标人将非主体、非关键性工作进行分包的项目，有下列情形之一的，中标人不得分包：</w:t>
      </w:r>
    </w:p>
    <w:p>
      <w:pPr>
        <w:pStyle w:val="12"/>
        <w:ind w:firstLine="480"/>
        <w:jc w:val="both"/>
      </w:pPr>
      <w:r>
        <w:rPr>
          <w:b/>
        </w:rPr>
        <w:t>①电子投标文件中未载明分包承担主体；</w:t>
      </w:r>
    </w:p>
    <w:p>
      <w:pPr>
        <w:pStyle w:val="12"/>
        <w:ind w:firstLine="480"/>
        <w:jc w:val="both"/>
      </w:pPr>
      <w:r>
        <w:rPr>
          <w:b/>
        </w:rPr>
        <w:t>②电子投标文件载明的分包承担主体不具备相应资质条件；</w:t>
      </w:r>
    </w:p>
    <w:p>
      <w:pPr>
        <w:pStyle w:val="12"/>
        <w:ind w:firstLine="480"/>
        <w:jc w:val="both"/>
      </w:pPr>
      <w:r>
        <w:rPr>
          <w:b/>
        </w:rPr>
        <w:t>③电子投标文件载明的分包承担主体拟再次分包；</w:t>
      </w:r>
    </w:p>
    <w:p>
      <w:pPr>
        <w:pStyle w:val="12"/>
        <w:ind w:firstLine="480"/>
        <w:jc w:val="both"/>
      </w:pPr>
      <w:r>
        <w:rPr>
          <w:b/>
        </w:rPr>
        <w:t>④享受中小企业扶持政策获得政府采购合同的，小微企业不得将合同分包给大中型企业，中型企业不得将合同分包给大型企业。</w:t>
      </w:r>
    </w:p>
    <w:p>
      <w:pPr>
        <w:pStyle w:val="12"/>
        <w:ind w:firstLine="480"/>
        <w:jc w:val="both"/>
      </w:pPr>
      <w:r>
        <w:rPr>
          <w:b/>
        </w:rPr>
        <w:t>10.8投标有效期</w:t>
      </w:r>
    </w:p>
    <w:p>
      <w:pPr>
        <w:pStyle w:val="12"/>
        <w:ind w:firstLine="480"/>
        <w:jc w:val="both"/>
      </w:pPr>
      <w:r>
        <w:rPr>
          <w:b/>
        </w:rPr>
        <w:t>（1）招标文件载明的投标有效期：详见招标文件第二章。</w:t>
      </w:r>
    </w:p>
    <w:p>
      <w:pPr>
        <w:pStyle w:val="12"/>
        <w:ind w:firstLine="480"/>
        <w:jc w:val="both"/>
      </w:pPr>
      <w:r>
        <w:rPr>
          <w:b/>
        </w:rPr>
        <w:t>（2）电子投标文件承诺的投标有效期不得少于招标文件载明的投标有效期，否则投标无效。</w:t>
      </w:r>
    </w:p>
    <w:p>
      <w:pPr>
        <w:pStyle w:val="12"/>
        <w:ind w:firstLine="480"/>
        <w:jc w:val="both"/>
      </w:pPr>
      <w:r>
        <w:rPr>
          <w:b/>
        </w:rPr>
        <w:t>（3）根据本次采购活动的需要，</w:t>
      </w:r>
      <w:r>
        <w:rPr>
          <w:rFonts w:hint="eastAsia"/>
          <w:b/>
          <w:lang w:eastAsia="zh-CN"/>
        </w:rPr>
        <w:t>福建中恒达建设项目管理有限公司</w:t>
      </w:r>
      <w:r>
        <w:rPr>
          <w:b/>
        </w:rPr>
        <w:t>可于投标有效期届满之前书面要求投标人延长投标有效期，投标人应在</w:t>
      </w:r>
      <w:r>
        <w:rPr>
          <w:rFonts w:hint="eastAsia"/>
          <w:b/>
          <w:lang w:eastAsia="zh-CN"/>
        </w:rPr>
        <w:t>福建中恒达建设项目管理有限公司</w:t>
      </w:r>
      <w:r>
        <w:rPr>
          <w:b/>
        </w:rPr>
        <w:t>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pPr>
        <w:pStyle w:val="12"/>
        <w:ind w:firstLine="480"/>
        <w:jc w:val="both"/>
      </w:pPr>
      <w:r>
        <w:rPr>
          <w:b/>
        </w:rPr>
        <w:t>10.9投标保证金</w:t>
      </w:r>
    </w:p>
    <w:p>
      <w:pPr>
        <w:pStyle w:val="12"/>
        <w:ind w:firstLine="480"/>
        <w:jc w:val="both"/>
      </w:pPr>
      <w:r>
        <w:rPr>
          <w:b/>
        </w:rPr>
        <w:t>（1）投标保证金作为投标人按照招标文件规定履行相应投标责任、义务的约束及担保。</w:t>
      </w:r>
    </w:p>
    <w:p>
      <w:pPr>
        <w:pStyle w:val="12"/>
        <w:ind w:firstLine="480"/>
        <w:jc w:val="both"/>
      </w:pPr>
      <w:r>
        <w:rPr>
          <w:b/>
        </w:rPr>
        <w:t>（2）投标人以电子保函形式提交投标保证金的，保函的有效期应等于或长于电子投标文件承诺的投标有效期，否则投标无效。</w:t>
      </w:r>
    </w:p>
    <w:p>
      <w:pPr>
        <w:pStyle w:val="12"/>
        <w:ind w:firstLine="480"/>
        <w:jc w:val="both"/>
      </w:pPr>
      <w:r>
        <w:rPr>
          <w:b/>
        </w:rPr>
        <w:t>（3）提交</w:t>
      </w:r>
    </w:p>
    <w:p>
      <w:pPr>
        <w:pStyle w:val="12"/>
        <w:ind w:firstLine="480"/>
        <w:jc w:val="both"/>
      </w:pPr>
      <w:r>
        <w:rPr>
          <w:b/>
        </w:rPr>
        <w:t>①投标人以汇款形式缴纳投标保证金的，应从其银行账户（基本存款账户）按照下列方式：公对公转账方式向招标文件载明的投标保证金账户提交投标保证金，具体金额详见招标文件第一章。</w:t>
      </w:r>
    </w:p>
    <w:p>
      <w:pPr>
        <w:pStyle w:val="12"/>
        <w:ind w:firstLine="480"/>
        <w:jc w:val="both"/>
      </w:pPr>
      <w:r>
        <w:rPr>
          <w:b/>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pPr>
        <w:pStyle w:val="12"/>
        <w:ind w:firstLine="480"/>
        <w:jc w:val="both"/>
      </w:pPr>
      <w:r>
        <w:rPr>
          <w:b/>
        </w:rPr>
        <w:t>③若本项目接受联合体投标且投标人为联合体，则联合体中的牵头方应按照本章第10.9条第（3）款第①、②点规定提交投标保证金。</w:t>
      </w:r>
    </w:p>
    <w:p>
      <w:pPr>
        <w:pStyle w:val="12"/>
        <w:ind w:firstLine="480"/>
        <w:jc w:val="both"/>
      </w:pPr>
      <w:r>
        <w:rPr>
          <w:b/>
        </w:rPr>
        <w:t>※除招标文件另有规定外，未按照上述规定提交投标保证金将导致资格审查不合格。</w:t>
      </w:r>
    </w:p>
    <w:p>
      <w:pPr>
        <w:pStyle w:val="12"/>
        <w:ind w:firstLine="480"/>
        <w:jc w:val="both"/>
      </w:pPr>
      <w:r>
        <w:rPr>
          <w:b/>
        </w:rPr>
        <w:t>（4）退还</w:t>
      </w:r>
    </w:p>
    <w:p>
      <w:pPr>
        <w:pStyle w:val="12"/>
        <w:ind w:firstLine="480"/>
        <w:jc w:val="both"/>
      </w:pPr>
      <w:r>
        <w:rPr>
          <w:b/>
        </w:rPr>
        <w:t>①在投标截止时间前撤回已提交的电子投标文件的投标人，其投标保证金将在</w:t>
      </w:r>
      <w:r>
        <w:rPr>
          <w:rFonts w:hint="eastAsia"/>
          <w:b/>
          <w:lang w:eastAsia="zh-CN"/>
        </w:rPr>
        <w:t>福建中恒达建设项目管理有限公司</w:t>
      </w:r>
      <w:r>
        <w:rPr>
          <w:b/>
        </w:rPr>
        <w:t>收到投标人书面撤回通知之日起5个工作日内退回原账户。</w:t>
      </w:r>
    </w:p>
    <w:p>
      <w:pPr>
        <w:pStyle w:val="12"/>
        <w:ind w:firstLine="480"/>
        <w:jc w:val="both"/>
      </w:pPr>
      <w:r>
        <w:rPr>
          <w:b/>
        </w:rPr>
        <w:t>②未中标人的投标保证金将在中标通知书发出之日起5个工作日内退回原账户。</w:t>
      </w:r>
    </w:p>
    <w:p>
      <w:pPr>
        <w:pStyle w:val="12"/>
        <w:ind w:firstLine="480"/>
        <w:jc w:val="both"/>
      </w:pPr>
      <w:r>
        <w:rPr>
          <w:b/>
        </w:rPr>
        <w:t>③中标人的投标保证金将在政府采购合同签订之日起5个工作日内退回原账户；合同签订之日以福建省政府采购网上公开信息系统记载的为准。</w:t>
      </w:r>
    </w:p>
    <w:p>
      <w:pPr>
        <w:pStyle w:val="12"/>
        <w:ind w:firstLine="480"/>
        <w:jc w:val="both"/>
      </w:pPr>
      <w:r>
        <w:rPr>
          <w:b/>
        </w:rPr>
        <w:t>④终止招标的，</w:t>
      </w:r>
      <w:r>
        <w:rPr>
          <w:rFonts w:hint="eastAsia"/>
          <w:b/>
          <w:lang w:eastAsia="zh-CN"/>
        </w:rPr>
        <w:t>福建中恒达建设项目管理有限公司</w:t>
      </w:r>
      <w:r>
        <w:rPr>
          <w:b/>
        </w:rPr>
        <w:t>将在终止公告发布之日起5个工作日内退回已收取的投标保证金及其在银行产生的孳息。</w:t>
      </w:r>
    </w:p>
    <w:p>
      <w:pPr>
        <w:pStyle w:val="12"/>
        <w:ind w:firstLine="480"/>
        <w:jc w:val="both"/>
      </w:pPr>
      <w:r>
        <w:rPr>
          <w:b/>
        </w:rPr>
        <w:t>⑤除招标文件另有规定外，质疑或投诉涉及的投标人，若投标保证金尚未退还，则待质疑或投诉处理完毕后不计利息原额退还。</w:t>
      </w:r>
    </w:p>
    <w:p>
      <w:pPr>
        <w:pStyle w:val="12"/>
        <w:ind w:firstLine="480"/>
        <w:jc w:val="both"/>
      </w:pPr>
      <w:r>
        <w:rPr>
          <w:b/>
        </w:rPr>
        <w:t>※本章第10.9条第（4）款第①、②、③点规定的投标保证金退还时限不包括因投标人自身原因导致无法及时退还而增加的时间。</w:t>
      </w:r>
    </w:p>
    <w:p>
      <w:pPr>
        <w:pStyle w:val="12"/>
        <w:ind w:firstLine="480"/>
        <w:jc w:val="both"/>
      </w:pPr>
      <w:r>
        <w:rPr>
          <w:b/>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pPr>
        <w:pStyle w:val="12"/>
        <w:ind w:firstLine="480"/>
        <w:jc w:val="both"/>
      </w:pPr>
      <w:r>
        <w:rPr>
          <w:b/>
        </w:rPr>
        <w:t>（6）有下列情形之一的，投标保证金将不予退还或通过投标保函进行索赔：</w:t>
      </w:r>
    </w:p>
    <w:p>
      <w:pPr>
        <w:pStyle w:val="12"/>
        <w:ind w:firstLine="480"/>
        <w:jc w:val="both"/>
      </w:pPr>
      <w:r>
        <w:rPr>
          <w:b/>
        </w:rPr>
        <w:t>①投标人串通投标；</w:t>
      </w:r>
    </w:p>
    <w:p>
      <w:pPr>
        <w:pStyle w:val="12"/>
        <w:ind w:firstLine="480"/>
        <w:jc w:val="both"/>
      </w:pPr>
      <w:r>
        <w:rPr>
          <w:b/>
        </w:rPr>
        <w:t>②投标人提供虚假材料；</w:t>
      </w:r>
    </w:p>
    <w:p>
      <w:pPr>
        <w:pStyle w:val="12"/>
        <w:ind w:firstLine="480"/>
        <w:jc w:val="both"/>
      </w:pPr>
      <w:r>
        <w:rPr>
          <w:b/>
        </w:rPr>
        <w:t>③投标人采取不正当手段诋毁、排挤其他投标人；</w:t>
      </w:r>
    </w:p>
    <w:p>
      <w:pPr>
        <w:pStyle w:val="12"/>
        <w:ind w:firstLine="480"/>
        <w:jc w:val="both"/>
      </w:pPr>
      <w:r>
        <w:rPr>
          <w:b/>
        </w:rPr>
        <w:t>④投标截止时间后，投标人在投标有效期内撤销电子投标文件；</w:t>
      </w:r>
    </w:p>
    <w:p>
      <w:pPr>
        <w:pStyle w:val="12"/>
        <w:ind w:firstLine="480"/>
        <w:jc w:val="both"/>
      </w:pPr>
      <w:r>
        <w:rPr>
          <w:b/>
        </w:rPr>
        <w:t>⑤招标文件规定的其他不予退还情形；</w:t>
      </w:r>
    </w:p>
    <w:p>
      <w:pPr>
        <w:pStyle w:val="12"/>
        <w:ind w:firstLine="480"/>
        <w:jc w:val="both"/>
      </w:pPr>
      <w:r>
        <w:rPr>
          <w:b/>
        </w:rPr>
        <w:t>⑥中标人有下列情形之一的：</w:t>
      </w:r>
    </w:p>
    <w:p>
      <w:pPr>
        <w:pStyle w:val="12"/>
        <w:ind w:firstLine="480"/>
        <w:jc w:val="both"/>
      </w:pPr>
      <w:r>
        <w:rPr>
          <w:b/>
        </w:rPr>
        <w:t>a.除不可抗力外，因中标人自身原因未在中标通知书要求的期限内与采购人签订政府采购合同；</w:t>
      </w:r>
    </w:p>
    <w:p>
      <w:pPr>
        <w:pStyle w:val="12"/>
        <w:ind w:firstLine="480"/>
        <w:jc w:val="both"/>
      </w:pPr>
      <w:r>
        <w:rPr>
          <w:b/>
        </w:rPr>
        <w:t>b.未按照招标文件、投标文件的约定签订政府采购合同或提交履约保证金。</w:t>
      </w:r>
    </w:p>
    <w:p>
      <w:pPr>
        <w:pStyle w:val="12"/>
        <w:ind w:firstLine="480"/>
        <w:jc w:val="both"/>
      </w:pPr>
      <w:r>
        <w:rPr>
          <w:b/>
        </w:rPr>
        <w:t>※若上述投标保证金不予退还情形给采购人（采购代理机构）造成损失，则投标人还要承担相应的赔偿责任。</w:t>
      </w:r>
    </w:p>
    <w:p>
      <w:pPr>
        <w:pStyle w:val="12"/>
        <w:ind w:firstLine="480"/>
        <w:jc w:val="both"/>
      </w:pPr>
      <w:r>
        <w:rPr>
          <w:b/>
        </w:rPr>
        <w:t>10.10电子投标文件的提交</w:t>
      </w:r>
    </w:p>
    <w:p>
      <w:pPr>
        <w:pStyle w:val="12"/>
        <w:ind w:firstLine="480"/>
        <w:jc w:val="both"/>
      </w:pPr>
      <w:r>
        <w:rPr>
          <w:b/>
        </w:rPr>
        <w:t>（1）一个投标人只能提交一个电子投标文件，并按照招标文件第一章规定在系统上完成上传、解密操作。</w:t>
      </w:r>
    </w:p>
    <w:p>
      <w:pPr>
        <w:pStyle w:val="12"/>
        <w:ind w:firstLine="480"/>
        <w:jc w:val="both"/>
      </w:pPr>
      <w:r>
        <w:rPr>
          <w:b/>
        </w:rPr>
        <w:t>10.11电子投标文件的补充、修改或撤回</w:t>
      </w:r>
    </w:p>
    <w:p>
      <w:pPr>
        <w:pStyle w:val="12"/>
        <w:ind w:firstLine="480"/>
        <w:jc w:val="both"/>
      </w:pPr>
      <w:r>
        <w:rPr>
          <w:b/>
        </w:rPr>
        <w:t>（1）投标截止时间前，投标人可对所提交的电子投标文件进行补充、修改或撤回，并书面通知</w:t>
      </w:r>
      <w:r>
        <w:rPr>
          <w:rFonts w:hint="eastAsia"/>
          <w:b/>
          <w:lang w:eastAsia="zh-CN"/>
        </w:rPr>
        <w:t>福建中恒达建设项目管理有限公司</w:t>
      </w:r>
      <w:r>
        <w:rPr>
          <w:b/>
        </w:rPr>
        <w:t>。</w:t>
      </w:r>
    </w:p>
    <w:p>
      <w:pPr>
        <w:pStyle w:val="12"/>
        <w:ind w:firstLine="480"/>
        <w:jc w:val="both"/>
      </w:pPr>
      <w:r>
        <w:rPr>
          <w:b/>
        </w:rPr>
        <w:t>（2）补充、修改的内容应按照本章第10.5条第（4）款规定进行签署、盖章，并按照本章第10.10条规定提交，否则将被拒收。</w:t>
      </w:r>
    </w:p>
    <w:p>
      <w:pPr>
        <w:pStyle w:val="12"/>
        <w:ind w:firstLine="480"/>
        <w:jc w:val="both"/>
      </w:pPr>
      <w:r>
        <w:rPr>
          <w:b/>
        </w:rPr>
        <w:t>※按照上述规定提交的补充、修改内容作为电子投标文件组成部分。</w:t>
      </w:r>
    </w:p>
    <w:p>
      <w:pPr>
        <w:pStyle w:val="12"/>
        <w:ind w:firstLine="480"/>
        <w:jc w:val="both"/>
      </w:pPr>
      <w:r>
        <w:rPr>
          <w:b/>
        </w:rPr>
        <w:t>10.12除招标文件另有规定外，有下列情形之一的，投标无效：</w:t>
      </w:r>
    </w:p>
    <w:p>
      <w:pPr>
        <w:pStyle w:val="12"/>
        <w:ind w:firstLine="480"/>
        <w:jc w:val="both"/>
      </w:pPr>
      <w:r>
        <w:rPr>
          <w:b/>
        </w:rPr>
        <w:t>（1）电子投标文件未按照招标文件要求签署、盖章；</w:t>
      </w:r>
    </w:p>
    <w:p>
      <w:pPr>
        <w:pStyle w:val="12"/>
        <w:ind w:firstLine="480"/>
        <w:jc w:val="both"/>
      </w:pPr>
      <w:r>
        <w:rPr>
          <w:b/>
        </w:rPr>
        <w:t>（2）不符合招标文件中规定的资格要求；</w:t>
      </w:r>
    </w:p>
    <w:p>
      <w:pPr>
        <w:pStyle w:val="12"/>
        <w:ind w:firstLine="480"/>
        <w:jc w:val="both"/>
      </w:pPr>
      <w:r>
        <w:rPr>
          <w:b/>
        </w:rPr>
        <w:t>（3）投标报价超过招标文件中规定的预算金额或最高限价；</w:t>
      </w:r>
    </w:p>
    <w:p>
      <w:pPr>
        <w:pStyle w:val="12"/>
        <w:ind w:firstLine="480"/>
        <w:jc w:val="both"/>
      </w:pPr>
      <w:r>
        <w:rPr>
          <w:b/>
        </w:rPr>
        <w:t>（4）电子投标文件含有采购人不能接受的附加条件；</w:t>
      </w:r>
    </w:p>
    <w:p>
      <w:pPr>
        <w:pStyle w:val="12"/>
        <w:ind w:firstLine="480"/>
        <w:jc w:val="both"/>
      </w:pPr>
      <w:r>
        <w:rPr>
          <w:b/>
        </w:rPr>
        <w:t>（5）有关法律、法规和规章及招标文件规定的其他无效情形。</w:t>
      </w:r>
    </w:p>
    <w:p>
      <w:pPr>
        <w:pStyle w:val="12"/>
        <w:jc w:val="both"/>
        <w:outlineLvl w:val="2"/>
      </w:pPr>
      <w:r>
        <w:rPr>
          <w:b/>
          <w:sz w:val="28"/>
        </w:rPr>
        <w:t>五、开标</w:t>
      </w:r>
    </w:p>
    <w:p>
      <w:pPr>
        <w:pStyle w:val="12"/>
        <w:ind w:firstLine="480"/>
        <w:jc w:val="both"/>
      </w:pPr>
      <w:r>
        <w:rPr>
          <w:b/>
        </w:rPr>
        <w:t>11、开标</w:t>
      </w:r>
    </w:p>
    <w:p>
      <w:pPr>
        <w:pStyle w:val="12"/>
        <w:ind w:firstLine="480"/>
        <w:jc w:val="both"/>
      </w:pPr>
      <w:r>
        <w:rPr>
          <w:b/>
        </w:rPr>
        <w:t>11.1</w:t>
      </w:r>
      <w:r>
        <w:rPr>
          <w:rFonts w:hint="eastAsia"/>
          <w:b/>
          <w:lang w:eastAsia="zh-CN"/>
        </w:rPr>
        <w:t>福建中恒达建设项目管理有限公司</w:t>
      </w:r>
      <w:r>
        <w:rPr>
          <w:b/>
        </w:rPr>
        <w:t>将在招标文件载明的开标时间及地点主持召开开标会，并邀请投标人参加。</w:t>
      </w:r>
    </w:p>
    <w:p>
      <w:pPr>
        <w:pStyle w:val="12"/>
        <w:ind w:firstLine="480"/>
        <w:jc w:val="both"/>
      </w:pPr>
      <w:r>
        <w:rPr>
          <w:b/>
        </w:rPr>
        <w:t>11.2开标会的主持人、唱标人、记录人及其他工作人员（若有）均由</w:t>
      </w:r>
      <w:r>
        <w:rPr>
          <w:rFonts w:hint="eastAsia"/>
          <w:b/>
          <w:lang w:eastAsia="zh-CN"/>
        </w:rPr>
        <w:t>福建中恒达建设项目管理有限公司</w:t>
      </w:r>
      <w:r>
        <w:rPr>
          <w:b/>
        </w:rPr>
        <w:t>派出，现场监督人员（若有）可由有关方面派出。</w:t>
      </w:r>
    </w:p>
    <w:p>
      <w:pPr>
        <w:pStyle w:val="12"/>
        <w:ind w:firstLine="480"/>
        <w:jc w:val="both"/>
      </w:pPr>
      <w:r>
        <w:rPr>
          <w:b/>
        </w:rPr>
        <w:t>11.3本项目的开标环节，投标人可自行选择到开标现场参加开标会或者远程参加开标会。远程参与开标流程的投标人需提前在福建省政府采购网-服务专区中下载远程开标操作手册，并按照操作手册的要求参与开标会。如因投标人自身原因造成无法正常参与开标过程的，不利后果由投标人自行承担。</w:t>
      </w:r>
    </w:p>
    <w:p>
      <w:pPr>
        <w:pStyle w:val="12"/>
        <w:ind w:firstLine="480"/>
        <w:jc w:val="both"/>
      </w:pPr>
      <w:r>
        <w:rPr>
          <w:b/>
        </w:rPr>
        <w:t>11.4开标会应遵守下列规定：</w:t>
      </w:r>
    </w:p>
    <w:p>
      <w:pPr>
        <w:pStyle w:val="12"/>
        <w:ind w:firstLine="480"/>
        <w:jc w:val="both"/>
      </w:pPr>
      <w:r>
        <w:rPr>
          <w:b/>
        </w:rPr>
        <w:t>（1）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CA数字证书进行电子投标文件的解密操作，逾期未解密的视为放弃投标。</w:t>
      </w:r>
    </w:p>
    <w:p>
      <w:pPr>
        <w:pStyle w:val="12"/>
        <w:ind w:firstLine="480"/>
        <w:jc w:val="both"/>
      </w:pPr>
      <w:r>
        <w:rPr>
          <w:b/>
        </w:rPr>
        <w:t>（2）唱标时，唱标人将依次宣布“投标人名称”、“各投标人关于电子投标文件补充、修改或撤回的书面通知（若有）”、“各投标人的投标报价”和招标文件规定的需要宣布的其他内容（包括但不限于：开标一览表中的内容、唱标人认为需要宣布的内容等）。</w:t>
      </w:r>
    </w:p>
    <w:p>
      <w:pPr>
        <w:pStyle w:val="12"/>
        <w:ind w:firstLine="480"/>
        <w:jc w:val="both"/>
      </w:pPr>
      <w:r>
        <w:rPr>
          <w:b/>
        </w:rPr>
        <w:t>（3）唱标结束后，参加现场开标会的投标人代表应对开标记录进行签字确认，通过远程参与开标流程的投标人须在系统远程签章开启后，在系统规定时间内对开标结果进行签章确认。</w:t>
      </w:r>
    </w:p>
    <w:p>
      <w:pPr>
        <w:pStyle w:val="12"/>
        <w:ind w:firstLine="480"/>
        <w:jc w:val="both"/>
      </w:pPr>
      <w:r>
        <w:rPr>
          <w:b/>
        </w:rPr>
        <w:t>（4）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pPr>
        <w:pStyle w:val="12"/>
        <w:ind w:firstLine="480"/>
        <w:jc w:val="both"/>
      </w:pPr>
      <w:r>
        <w:rPr>
          <w:b/>
        </w:rPr>
        <w:t>（5）若投标人未到开标现场参加开标会，也未通过远程参加开标会的，视同认可开标结果。</w:t>
      </w:r>
    </w:p>
    <w:p>
      <w:pPr>
        <w:pStyle w:val="12"/>
        <w:ind w:firstLine="480"/>
        <w:jc w:val="both"/>
      </w:pPr>
      <w:r>
        <w:rPr>
          <w:b/>
        </w:rPr>
        <w:t>※若出现本章第11.4条第（3）、（4）、（5）款规定情形之一，则投标人不得在开标会后就开标过程和开标记录涉及或可能涉及的有关事由（包括但不限于：“投标报价”、“电子投标文件的格式”、“电子投标文件的提交”、“电子投标文件的补充、修改或撤回”等）向</w:t>
      </w:r>
      <w:r>
        <w:rPr>
          <w:rFonts w:hint="eastAsia"/>
          <w:b/>
          <w:lang w:eastAsia="zh-CN"/>
        </w:rPr>
        <w:t>福建中恒达建设项目管理有限公司</w:t>
      </w:r>
      <w:r>
        <w:rPr>
          <w:b/>
        </w:rPr>
        <w:t>提出任何疑义或要求（包括质疑）。</w:t>
      </w:r>
    </w:p>
    <w:p>
      <w:pPr>
        <w:pStyle w:val="12"/>
        <w:ind w:firstLine="480"/>
        <w:jc w:val="both"/>
      </w:pPr>
      <w:r>
        <w:rPr>
          <w:b/>
        </w:rPr>
        <w:t>11.5投标截止时间后，参加投标的投标人不足三家的，不进行开标。同时，本次采购活动结束，</w:t>
      </w:r>
      <w:r>
        <w:rPr>
          <w:rFonts w:hint="eastAsia"/>
          <w:b/>
          <w:lang w:eastAsia="zh-CN"/>
        </w:rPr>
        <w:t>福建中恒达建设项目管理有限公司</w:t>
      </w:r>
      <w:r>
        <w:rPr>
          <w:b/>
        </w:rPr>
        <w:t>将依法组织后续采购活动（包括但不限于：重新招标、采用其他方式采购等）。</w:t>
      </w:r>
    </w:p>
    <w:p>
      <w:pPr>
        <w:pStyle w:val="12"/>
        <w:ind w:firstLine="480"/>
        <w:jc w:val="both"/>
      </w:pPr>
      <w:r>
        <w:rPr>
          <w:b/>
        </w:rPr>
        <w:t>11.6投标截止时间后撤销投标的处理</w:t>
      </w:r>
    </w:p>
    <w:p>
      <w:pPr>
        <w:pStyle w:val="12"/>
        <w:ind w:firstLine="480"/>
        <w:jc w:val="both"/>
      </w:pPr>
      <w:r>
        <w:rPr>
          <w:b/>
        </w:rPr>
        <w:t>投标截止时间后，投标人在投标有效期内撤销投标的，其撤销投标的行为无效。</w:t>
      </w:r>
    </w:p>
    <w:p>
      <w:pPr>
        <w:pStyle w:val="12"/>
        <w:jc w:val="both"/>
        <w:outlineLvl w:val="2"/>
      </w:pPr>
      <w:r>
        <w:rPr>
          <w:b/>
          <w:sz w:val="28"/>
        </w:rPr>
        <w:t>六、中标与政府采购合同</w:t>
      </w:r>
    </w:p>
    <w:p>
      <w:pPr>
        <w:pStyle w:val="12"/>
        <w:ind w:firstLine="480"/>
        <w:jc w:val="both"/>
      </w:pPr>
      <w:r>
        <w:rPr>
          <w:b/>
        </w:rPr>
        <w:t>12、中标</w:t>
      </w:r>
    </w:p>
    <w:p>
      <w:pPr>
        <w:pStyle w:val="12"/>
        <w:ind w:firstLine="480"/>
        <w:jc w:val="both"/>
      </w:pPr>
      <w:r>
        <w:rPr>
          <w:b/>
        </w:rPr>
        <w:t>12.1本项目推荐的中标候选人家数：详见招标文件第二章。</w:t>
      </w:r>
    </w:p>
    <w:p>
      <w:pPr>
        <w:pStyle w:val="12"/>
        <w:ind w:firstLine="480"/>
        <w:jc w:val="both"/>
      </w:pPr>
      <w:r>
        <w:rPr>
          <w:b/>
        </w:rPr>
        <w:t>12.2本项目中标人的确定：详见招标文件第二章。</w:t>
      </w:r>
    </w:p>
    <w:p>
      <w:pPr>
        <w:pStyle w:val="12"/>
        <w:ind w:firstLine="480"/>
        <w:jc w:val="both"/>
      </w:pPr>
      <w:r>
        <w:rPr>
          <w:b/>
        </w:rPr>
        <w:t>12.3中标公告</w:t>
      </w:r>
    </w:p>
    <w:p>
      <w:pPr>
        <w:pStyle w:val="12"/>
        <w:ind w:firstLine="480"/>
        <w:jc w:val="both"/>
      </w:pPr>
      <w:r>
        <w:rPr>
          <w:b/>
        </w:rPr>
        <w:t>（1）中标人确定之日起2个工作日内，</w:t>
      </w:r>
      <w:r>
        <w:rPr>
          <w:rFonts w:hint="eastAsia"/>
          <w:b/>
          <w:lang w:eastAsia="zh-CN"/>
        </w:rPr>
        <w:t>福建中恒达建设项目管理有限公司</w:t>
      </w:r>
      <w:r>
        <w:rPr>
          <w:b/>
        </w:rPr>
        <w:t>将在招标文件载明的指定媒体以中标公告的形式发布中标结果。</w:t>
      </w:r>
    </w:p>
    <w:p>
      <w:pPr>
        <w:pStyle w:val="12"/>
        <w:ind w:firstLine="480"/>
        <w:jc w:val="both"/>
      </w:pPr>
      <w:r>
        <w:rPr>
          <w:b/>
        </w:rPr>
        <w:t>（2）中标公告的公告期限为1个工作日。</w:t>
      </w:r>
    </w:p>
    <w:p>
      <w:pPr>
        <w:pStyle w:val="12"/>
        <w:ind w:firstLine="480"/>
        <w:jc w:val="both"/>
      </w:pPr>
      <w:r>
        <w:rPr>
          <w:b/>
        </w:rPr>
        <w:t>12.4中标通知书</w:t>
      </w:r>
    </w:p>
    <w:p>
      <w:pPr>
        <w:pStyle w:val="12"/>
        <w:ind w:firstLine="480"/>
        <w:jc w:val="both"/>
      </w:pPr>
      <w:r>
        <w:rPr>
          <w:b/>
        </w:rPr>
        <w:t>（1）中标公告发布的同时，</w:t>
      </w:r>
      <w:r>
        <w:rPr>
          <w:rFonts w:hint="eastAsia"/>
          <w:b/>
          <w:lang w:eastAsia="zh-CN"/>
        </w:rPr>
        <w:t>福建中恒达建设项目管理有限公司</w:t>
      </w:r>
      <w:r>
        <w:rPr>
          <w:b/>
        </w:rPr>
        <w:t>将向中标人发出中标通知书。</w:t>
      </w:r>
    </w:p>
    <w:p>
      <w:pPr>
        <w:pStyle w:val="12"/>
        <w:ind w:firstLine="480"/>
        <w:jc w:val="both"/>
      </w:pPr>
      <w:r>
        <w:rPr>
          <w:b/>
        </w:rPr>
        <w:t>（2）中标通知书发出后，采购人不得违法改变中标结果，中标人无正当理由不得放弃中标。</w:t>
      </w:r>
    </w:p>
    <w:p>
      <w:pPr>
        <w:pStyle w:val="12"/>
        <w:ind w:firstLine="480"/>
        <w:jc w:val="both"/>
      </w:pPr>
      <w:r>
        <w:rPr>
          <w:b/>
        </w:rPr>
        <w:t>13、政府采购合同</w:t>
      </w:r>
    </w:p>
    <w:p>
      <w:pPr>
        <w:pStyle w:val="12"/>
        <w:ind w:firstLine="480"/>
        <w:jc w:val="both"/>
      </w:pPr>
      <w:r>
        <w:rPr>
          <w:b/>
        </w:rPr>
        <w:t>13.1签订政府采购合同应遵守政府采购法及实施条例的规定，不得对招标文件确定的事项和中标人的电子投标文件作实质性修改。采购人不得向中标人提出任何不合理的要求作为政府采购合同的签订条件。</w:t>
      </w:r>
    </w:p>
    <w:p>
      <w:pPr>
        <w:pStyle w:val="12"/>
        <w:ind w:firstLine="480"/>
        <w:jc w:val="both"/>
      </w:pPr>
      <w:r>
        <w:rPr>
          <w:b/>
        </w:rPr>
        <w:t>13.2签订时限：详见须知前附表1的13.2。</w:t>
      </w:r>
    </w:p>
    <w:p>
      <w:pPr>
        <w:pStyle w:val="12"/>
        <w:ind w:firstLine="480"/>
        <w:jc w:val="both"/>
      </w:pPr>
      <w:r>
        <w:rPr>
          <w:b/>
        </w:rPr>
        <w:t>13.3政府采购合同的履行、违约责任和解决争议的方法等适用民法典。</w:t>
      </w:r>
    </w:p>
    <w:p>
      <w:pPr>
        <w:pStyle w:val="12"/>
        <w:ind w:firstLine="480"/>
        <w:jc w:val="both"/>
      </w:pPr>
      <w:r>
        <w:rPr>
          <w:b/>
        </w:rPr>
        <w:t>13.4采购人与中标人应根据政府采购合同的约定依法履行合同义务。</w:t>
      </w:r>
    </w:p>
    <w:p>
      <w:pPr>
        <w:pStyle w:val="12"/>
        <w:ind w:firstLine="480"/>
        <w:jc w:val="both"/>
      </w:pPr>
      <w:r>
        <w:rPr>
          <w:b/>
        </w:rPr>
        <w:t>13.5政府采购合同履行过程中，采购人若需追加与合同标的相同的货物或服务，则追加采购金额不得超过原合同采购金额的10%。</w:t>
      </w:r>
    </w:p>
    <w:p>
      <w:pPr>
        <w:pStyle w:val="12"/>
        <w:ind w:firstLine="480"/>
        <w:jc w:val="both"/>
      </w:pPr>
      <w:r>
        <w:rPr>
          <w:b/>
        </w:rPr>
        <w:t>13.6中标人在政府采购合同履行过程中应遵守有关法律、法规和规章的强制性规定（即使前述强制性规定有可能在招标文件中未予列明）。</w:t>
      </w:r>
    </w:p>
    <w:p>
      <w:pPr>
        <w:pStyle w:val="12"/>
        <w:jc w:val="both"/>
        <w:outlineLvl w:val="2"/>
      </w:pPr>
      <w:r>
        <w:rPr>
          <w:b/>
          <w:sz w:val="28"/>
        </w:rPr>
        <w:t>七、询问、质疑与投诉</w:t>
      </w:r>
    </w:p>
    <w:p>
      <w:pPr>
        <w:pStyle w:val="12"/>
        <w:ind w:firstLine="480"/>
        <w:jc w:val="both"/>
      </w:pPr>
      <w:r>
        <w:rPr>
          <w:b/>
        </w:rPr>
        <w:t>14、询问</w:t>
      </w:r>
    </w:p>
    <w:p>
      <w:pPr>
        <w:pStyle w:val="12"/>
        <w:ind w:firstLine="480"/>
        <w:jc w:val="both"/>
      </w:pPr>
      <w:r>
        <w:rPr>
          <w:b/>
        </w:rPr>
        <w:t>14.1潜在投标人或投标人对本次采购活动的有关事项若有疑问，可向</w:t>
      </w:r>
      <w:r>
        <w:rPr>
          <w:rFonts w:hint="eastAsia"/>
          <w:b/>
          <w:lang w:eastAsia="zh-CN"/>
        </w:rPr>
        <w:t>福建中恒达建设项目管理有限公司</w:t>
      </w:r>
      <w:r>
        <w:rPr>
          <w:b/>
        </w:rPr>
        <w:t>提出询问，</w:t>
      </w:r>
      <w:r>
        <w:rPr>
          <w:rFonts w:hint="eastAsia"/>
          <w:b/>
          <w:lang w:eastAsia="zh-CN"/>
        </w:rPr>
        <w:t>福建中恒达建设项目管理有限公司</w:t>
      </w:r>
      <w:r>
        <w:rPr>
          <w:b/>
        </w:rPr>
        <w:t>将按照政府采购法及实施条例的有关规定进行答复。</w:t>
      </w:r>
    </w:p>
    <w:p>
      <w:pPr>
        <w:pStyle w:val="12"/>
        <w:ind w:firstLine="480"/>
        <w:jc w:val="both"/>
      </w:pPr>
      <w:r>
        <w:rPr>
          <w:b/>
        </w:rPr>
        <w:t>15、质疑</w:t>
      </w:r>
    </w:p>
    <w:p>
      <w:pPr>
        <w:pStyle w:val="12"/>
        <w:ind w:firstLine="480"/>
        <w:jc w:val="both"/>
      </w:pPr>
      <w:r>
        <w:rPr>
          <w:b/>
        </w:rPr>
        <w:t>15.1针对同一采购程序环节的质疑应在政府采购法及实施条例的时限内一次性提出，对一个项目的不同采购包提出质疑的，应当将各采购包质疑事项集中在一份质疑函中提出，并同时符合下列条件：</w:t>
      </w:r>
    </w:p>
    <w:p>
      <w:pPr>
        <w:pStyle w:val="12"/>
        <w:ind w:firstLine="480"/>
        <w:jc w:val="both"/>
      </w:pPr>
      <w:r>
        <w:rPr>
          <w:b/>
        </w:rPr>
        <w:t>（1）对招标文件提出质疑的，质疑人应为潜在投标人，且两者的身份、名称等均应保持一致。对采购过程、结果提出质疑的，质疑人应为投标人，且两者的身份、名称等均应保持一致。</w:t>
      </w:r>
    </w:p>
    <w:p>
      <w:pPr>
        <w:pStyle w:val="12"/>
        <w:ind w:firstLine="480"/>
        <w:jc w:val="both"/>
      </w:pPr>
      <w:r>
        <w:rPr>
          <w:b/>
        </w:rPr>
        <w:t>（2）质疑人应按照招标文件第二章规定方式提交质疑函。</w:t>
      </w:r>
    </w:p>
    <w:p>
      <w:pPr>
        <w:pStyle w:val="12"/>
        <w:ind w:firstLine="480"/>
        <w:jc w:val="both"/>
      </w:pPr>
      <w:r>
        <w:rPr>
          <w:b/>
        </w:rPr>
        <w:t>（3）质疑函应包括下列主要内容：</w:t>
      </w:r>
    </w:p>
    <w:p>
      <w:pPr>
        <w:pStyle w:val="12"/>
        <w:ind w:firstLine="480"/>
        <w:jc w:val="both"/>
      </w:pPr>
      <w:r>
        <w:rPr>
          <w:b/>
        </w:rPr>
        <w:t>①质疑人的基本信息，至少包括：全称、地址、邮政编码等；</w:t>
      </w:r>
    </w:p>
    <w:p>
      <w:pPr>
        <w:pStyle w:val="12"/>
        <w:ind w:firstLine="480"/>
        <w:jc w:val="both"/>
      </w:pPr>
      <w:r>
        <w:rPr>
          <w:b/>
        </w:rPr>
        <w:t>②所质疑项目的基本信息，至少包括：项目编号、项目名称等；</w:t>
      </w:r>
    </w:p>
    <w:p>
      <w:pPr>
        <w:pStyle w:val="12"/>
        <w:ind w:firstLine="480"/>
        <w:jc w:val="both"/>
      </w:pPr>
      <w:r>
        <w:rPr>
          <w:b/>
        </w:rPr>
        <w:t>③所质疑的具体事项（以下简称：“质疑事项”）；</w:t>
      </w:r>
    </w:p>
    <w:p>
      <w:pPr>
        <w:pStyle w:val="12"/>
        <w:ind w:firstLine="480"/>
        <w:jc w:val="both"/>
      </w:pPr>
      <w:r>
        <w:rPr>
          <w:b/>
        </w:rPr>
        <w:t>④针对质疑事项提出的明确请求，前述明确请求指质疑人提出质疑的目的以及希望</w:t>
      </w:r>
      <w:r>
        <w:rPr>
          <w:rFonts w:hint="eastAsia"/>
          <w:b/>
          <w:lang w:eastAsia="zh-CN"/>
        </w:rPr>
        <w:t>福建中恒达建设项目管理有限公司</w:t>
      </w:r>
      <w:r>
        <w:rPr>
          <w:b/>
        </w:rPr>
        <w:t>对其质疑作出的处理结果，如：暂停招标投标活动、修改招标文件、停止或纠正违法违规行为、中标结果无效、废标、重新招标等；</w:t>
      </w:r>
    </w:p>
    <w:p>
      <w:pPr>
        <w:pStyle w:val="12"/>
        <w:ind w:firstLine="480"/>
        <w:jc w:val="both"/>
      </w:pPr>
      <w:r>
        <w:rPr>
          <w:b/>
        </w:rPr>
        <w:t>⑤针对质疑事项导致质疑人自身权益受到损害的必要证明材料，至少包括：</w:t>
      </w:r>
    </w:p>
    <w:p>
      <w:pPr>
        <w:pStyle w:val="12"/>
        <w:ind w:firstLine="480"/>
        <w:jc w:val="both"/>
      </w:pPr>
      <w:r>
        <w:rPr>
          <w:b/>
        </w:rPr>
        <w:t>a.质疑人代表的身份证明材料：</w:t>
      </w:r>
    </w:p>
    <w:p>
      <w:pPr>
        <w:pStyle w:val="12"/>
        <w:ind w:firstLine="480"/>
        <w:jc w:val="both"/>
      </w:pPr>
      <w:r>
        <w:rPr>
          <w:b/>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pStyle w:val="12"/>
        <w:ind w:firstLine="480"/>
        <w:jc w:val="both"/>
      </w:pPr>
      <w:r>
        <w:rPr>
          <w:b/>
        </w:rPr>
        <w:t>a2若本项目接受自然人投标且质疑人为自然人的，提供本人的身份证复印件。</w:t>
      </w:r>
    </w:p>
    <w:p>
      <w:pPr>
        <w:pStyle w:val="12"/>
        <w:ind w:firstLine="480"/>
        <w:jc w:val="both"/>
      </w:pPr>
      <w:r>
        <w:rPr>
          <w:b/>
        </w:rPr>
        <w:t>b.其他证明材料（即事实依据和必要的法律依据）包括但不限于下列材料：</w:t>
      </w:r>
    </w:p>
    <w:p>
      <w:pPr>
        <w:pStyle w:val="12"/>
        <w:ind w:firstLine="480"/>
        <w:jc w:val="both"/>
      </w:pPr>
      <w:r>
        <w:rPr>
          <w:b/>
        </w:rPr>
        <w:t>b1所质疑的具体事项是与自己有利害关系的证明材料；</w:t>
      </w:r>
    </w:p>
    <w:p>
      <w:pPr>
        <w:pStyle w:val="12"/>
        <w:ind w:firstLine="480"/>
        <w:jc w:val="both"/>
      </w:pPr>
      <w:r>
        <w:rPr>
          <w:b/>
        </w:rPr>
        <w:t>b2质疑函所述事实存在的证明材料，如：采购文件、采购过程或中标结果违法违规或不符合采购文件要求等证明材料；</w:t>
      </w:r>
    </w:p>
    <w:p>
      <w:pPr>
        <w:pStyle w:val="12"/>
        <w:ind w:firstLine="480"/>
        <w:jc w:val="both"/>
      </w:pPr>
      <w:r>
        <w:rPr>
          <w:b/>
        </w:rPr>
        <w:t>b3依法应终止采购程序的证明材料；</w:t>
      </w:r>
    </w:p>
    <w:p>
      <w:pPr>
        <w:pStyle w:val="12"/>
        <w:ind w:firstLine="480"/>
        <w:jc w:val="both"/>
      </w:pPr>
      <w:r>
        <w:rPr>
          <w:b/>
        </w:rPr>
        <w:t>b4应重新采购的证明材料；</w:t>
      </w:r>
    </w:p>
    <w:p>
      <w:pPr>
        <w:pStyle w:val="12"/>
        <w:ind w:firstLine="480"/>
        <w:jc w:val="both"/>
      </w:pPr>
      <w:r>
        <w:rPr>
          <w:b/>
        </w:rPr>
        <w:t>b5采购文件、采购过程或中标、成交结果损害自己合法权益的证明材料等；</w:t>
      </w:r>
    </w:p>
    <w:p>
      <w:pPr>
        <w:pStyle w:val="12"/>
        <w:ind w:firstLine="480"/>
        <w:jc w:val="both"/>
      </w:pPr>
      <w:r>
        <w:rPr>
          <w:b/>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pPr>
        <w:pStyle w:val="12"/>
        <w:ind w:firstLine="480"/>
        <w:jc w:val="both"/>
      </w:pPr>
      <w:r>
        <w:rPr>
          <w:b/>
        </w:rPr>
        <w:t>⑥质疑人代表及其联系方法的信息，至少包括：姓名、手机、电子信箱、邮寄地址等。</w:t>
      </w:r>
    </w:p>
    <w:p>
      <w:pPr>
        <w:pStyle w:val="12"/>
        <w:ind w:firstLine="480"/>
        <w:jc w:val="both"/>
      </w:pPr>
      <w:r>
        <w:rPr>
          <w:b/>
        </w:rPr>
        <w:t>⑦提出质疑的日期。</w:t>
      </w:r>
    </w:p>
    <w:p>
      <w:pPr>
        <w:pStyle w:val="12"/>
        <w:ind w:firstLine="480"/>
        <w:jc w:val="both"/>
      </w:pPr>
      <w:r>
        <w:rPr>
          <w:b/>
        </w:rPr>
        <w:t>※质疑人为法人或其他组织的，质疑函应由单位负责人或委托代理人签字或盖章，并加盖投标人的单位公章。质疑人为自然人的，质疑函应由本人签字。</w:t>
      </w:r>
    </w:p>
    <w:p>
      <w:pPr>
        <w:pStyle w:val="12"/>
        <w:ind w:firstLine="480"/>
        <w:jc w:val="both"/>
      </w:pPr>
      <w:r>
        <w:rPr>
          <w:b/>
        </w:rPr>
        <w:t>15.2对不符合本章第15.1条规定的质疑，将按照下列规定进行处理：</w:t>
      </w:r>
    </w:p>
    <w:p>
      <w:pPr>
        <w:pStyle w:val="12"/>
        <w:ind w:firstLine="480"/>
        <w:jc w:val="both"/>
      </w:pPr>
      <w:r>
        <w:rPr>
          <w:b/>
        </w:rPr>
        <w:t>（1）不符合其中第（1）、（2）条规定的，书面告知质疑人不予受理及其理由。</w:t>
      </w:r>
    </w:p>
    <w:p>
      <w:pPr>
        <w:pStyle w:val="12"/>
        <w:ind w:firstLine="480"/>
        <w:jc w:val="both"/>
      </w:pPr>
      <w:r>
        <w:rPr>
          <w:b/>
        </w:rPr>
        <w:t>（2）不符合其中第（3）条规定的，书面告知质疑人修改、补充后在规定时限内重新提交质疑函。</w:t>
      </w:r>
    </w:p>
    <w:p>
      <w:pPr>
        <w:pStyle w:val="12"/>
        <w:ind w:firstLine="480"/>
        <w:jc w:val="both"/>
      </w:pPr>
      <w:r>
        <w:rPr>
          <w:b/>
        </w:rPr>
        <w:t>15.3对符合本章第15.1条规定的质疑，将按照政府采购法及实施条例、政府采购质疑和投诉办法的有关规定进行答复。</w:t>
      </w:r>
    </w:p>
    <w:p>
      <w:pPr>
        <w:pStyle w:val="12"/>
        <w:ind w:firstLine="480"/>
        <w:jc w:val="both"/>
      </w:pPr>
      <w:r>
        <w:rPr>
          <w:b/>
        </w:rPr>
        <w:t>15.4招标文件的质疑：详见招标文件第二章。</w:t>
      </w:r>
    </w:p>
    <w:p>
      <w:pPr>
        <w:pStyle w:val="12"/>
        <w:ind w:firstLine="480"/>
        <w:jc w:val="both"/>
      </w:pPr>
      <w:r>
        <w:rPr>
          <w:b/>
        </w:rPr>
        <w:t>16、投诉</w:t>
      </w:r>
    </w:p>
    <w:p>
      <w:pPr>
        <w:pStyle w:val="12"/>
        <w:ind w:firstLine="480"/>
        <w:jc w:val="both"/>
      </w:pPr>
      <w:r>
        <w:rPr>
          <w:b/>
        </w:rPr>
        <w:t>16.1若对质疑答复不满意或质疑答复未在答复期限内作出，质疑人可在答复期限届满之日起15个工作日内按照政府采购质疑和投诉办法的有关规定向招标文件第二章载明的本项目监督管理部门提起投诉。</w:t>
      </w:r>
    </w:p>
    <w:p>
      <w:pPr>
        <w:pStyle w:val="12"/>
        <w:ind w:firstLine="480"/>
        <w:jc w:val="both"/>
      </w:pPr>
      <w:r>
        <w:rPr>
          <w:b/>
        </w:rPr>
        <w:t>16.2投诉应有明确的请求和必要的证明材料，投诉的事项不得超出已质疑事项的范围。</w:t>
      </w:r>
    </w:p>
    <w:p>
      <w:pPr>
        <w:pStyle w:val="12"/>
        <w:jc w:val="both"/>
        <w:outlineLvl w:val="2"/>
      </w:pPr>
      <w:r>
        <w:rPr>
          <w:b/>
          <w:sz w:val="28"/>
        </w:rPr>
        <w:t>八、政府采购政策</w:t>
      </w:r>
    </w:p>
    <w:p>
      <w:pPr>
        <w:pStyle w:val="12"/>
        <w:ind w:firstLine="480"/>
        <w:jc w:val="both"/>
      </w:pPr>
      <w:r>
        <w:rPr>
          <w:b/>
        </w:rPr>
        <w:t>17、政府采购政策由财政部根据国家的经济和社会发展政策并会同国家有关部委制定，包括但不限于下列具体政策要求：</w:t>
      </w:r>
    </w:p>
    <w:p>
      <w:pPr>
        <w:pStyle w:val="12"/>
        <w:ind w:firstLine="480"/>
        <w:jc w:val="both"/>
      </w:pPr>
      <w:r>
        <w:rPr>
          <w:b/>
        </w:rPr>
        <w:t>17.1进口产品指通过中国海关报关验放进入中国境内且产自关境外的产品，其中：</w:t>
      </w:r>
    </w:p>
    <w:p>
      <w:pPr>
        <w:pStyle w:val="12"/>
        <w:ind w:firstLine="480"/>
        <w:jc w:val="both"/>
      </w:pPr>
      <w:r>
        <w:rPr>
          <w:b/>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12"/>
        <w:ind w:firstLine="480"/>
        <w:jc w:val="both"/>
      </w:pPr>
      <w:r>
        <w:rPr>
          <w:b/>
        </w:rPr>
        <w:t>（2）凡在海关特殊监管区域内企业生产或加工（包括从境外进口料件）销往境内其他地区的产品，不作为政府采购项下进口产品。</w:t>
      </w:r>
    </w:p>
    <w:p>
      <w:pPr>
        <w:pStyle w:val="12"/>
        <w:ind w:firstLine="480"/>
        <w:jc w:val="both"/>
      </w:pPr>
      <w:r>
        <w:rPr>
          <w:b/>
        </w:rPr>
        <w:t>（3）对从境外进入海关特殊监管区域，再经办理报关手续后从海关特殊监管区进入境内其他地区的产品，认定为进口产品。</w:t>
      </w:r>
    </w:p>
    <w:p>
      <w:pPr>
        <w:pStyle w:val="12"/>
        <w:ind w:firstLine="480"/>
        <w:jc w:val="both"/>
      </w:pPr>
      <w:r>
        <w:rPr>
          <w:b/>
        </w:rPr>
        <w:t>（4）招标文件列明不允许或未列明允许进口产品参加投标的，均视为拒绝进口产品参加投标。</w:t>
      </w:r>
    </w:p>
    <w:p>
      <w:pPr>
        <w:pStyle w:val="12"/>
        <w:ind w:firstLine="480"/>
        <w:jc w:val="both"/>
      </w:pPr>
      <w:r>
        <w:rPr>
          <w:b/>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12"/>
        <w:ind w:firstLine="480"/>
        <w:jc w:val="both"/>
      </w:pPr>
      <w:r>
        <w:rPr>
          <w:b/>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pPr>
        <w:pStyle w:val="12"/>
        <w:ind w:firstLine="480"/>
        <w:jc w:val="both"/>
      </w:pPr>
      <w:r>
        <w:rPr>
          <w:b/>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pPr>
        <w:pStyle w:val="12"/>
        <w:ind w:firstLine="480"/>
        <w:jc w:val="both"/>
      </w:pPr>
      <w:r>
        <w:rPr>
          <w:b/>
        </w:rPr>
        <w:t>（1）中小企业指符合下列条件的中型、小型、微型企业：</w:t>
      </w:r>
    </w:p>
    <w:p>
      <w:pPr>
        <w:pStyle w:val="12"/>
        <w:ind w:firstLine="480"/>
        <w:jc w:val="both"/>
      </w:pPr>
      <w:r>
        <w:rPr>
          <w:b/>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pPr>
        <w:pStyle w:val="12"/>
        <w:ind w:firstLine="480"/>
        <w:jc w:val="both"/>
      </w:pPr>
      <w:r>
        <w:rPr>
          <w:b/>
        </w:rPr>
        <w:t>②符合中小企业划分标准的个体工商户，在政府采购活动中视同中小企业。</w:t>
      </w:r>
    </w:p>
    <w:p>
      <w:pPr>
        <w:pStyle w:val="12"/>
        <w:ind w:firstLine="480"/>
        <w:jc w:val="both"/>
      </w:pPr>
      <w:r>
        <w:rPr>
          <w:b/>
        </w:rPr>
        <w:t>（2）在政府采购活动中，供应商提供的货物、工程或者服务符合下列情形的，享受本办法规定的中小企业扶持政策：</w:t>
      </w:r>
    </w:p>
    <w:p>
      <w:pPr>
        <w:pStyle w:val="12"/>
        <w:ind w:firstLine="480"/>
        <w:jc w:val="both"/>
      </w:pPr>
      <w:r>
        <w:rPr>
          <w:b/>
        </w:rPr>
        <w:t>①在货物采购项目中，货物由中小企业制造，即货物由中小企业生产且使用该中小企业商号或者注册商标；</w:t>
      </w:r>
    </w:p>
    <w:p>
      <w:pPr>
        <w:pStyle w:val="12"/>
        <w:ind w:firstLine="480"/>
        <w:jc w:val="both"/>
      </w:pPr>
      <w:r>
        <w:rPr>
          <w:b/>
        </w:rPr>
        <w:t>②在工程采购项目中，工程由中小企业承建，即工程施工单位为中小企业；</w:t>
      </w:r>
    </w:p>
    <w:p>
      <w:pPr>
        <w:pStyle w:val="12"/>
        <w:ind w:firstLine="480"/>
        <w:jc w:val="both"/>
      </w:pPr>
      <w:r>
        <w:rPr>
          <w:b/>
        </w:rPr>
        <w:t>③在服务采购项目中，服务由中小企业承接，即提供服务的人员为中小企业依照《中华人民共和国劳动合同法》订立劳动合同的从业人员。</w:t>
      </w:r>
    </w:p>
    <w:p>
      <w:pPr>
        <w:pStyle w:val="12"/>
        <w:ind w:firstLine="480"/>
        <w:jc w:val="both"/>
      </w:pPr>
      <w:r>
        <w:rPr>
          <w:b/>
        </w:rPr>
        <w:t>在货物采购项目中，供应商提供的货物既有中小企业制造货物，也有大型企业制造货物的，不享受本办法规定的中小企业扶持政策。</w:t>
      </w:r>
    </w:p>
    <w:p>
      <w:pPr>
        <w:pStyle w:val="12"/>
        <w:ind w:firstLine="480"/>
        <w:jc w:val="both"/>
      </w:pPr>
      <w:r>
        <w:rPr>
          <w:b/>
        </w:rPr>
        <w:t>以联合体形式参加政府采购活动，联合体各方均为中小企业的，联合体视同中小企业。其中，联合体各方均为小微企业的，联合体视同小微企业。</w:t>
      </w:r>
    </w:p>
    <w:p>
      <w:pPr>
        <w:pStyle w:val="12"/>
        <w:ind w:firstLine="480"/>
        <w:jc w:val="both"/>
      </w:pPr>
      <w:r>
        <w:rPr>
          <w:b/>
        </w:rPr>
        <w:t>（3）投标人应当按照招标文件明确的采购标的对应行业的划分标准出具中小企业声明函。</w:t>
      </w:r>
    </w:p>
    <w:p>
      <w:pPr>
        <w:pStyle w:val="12"/>
        <w:ind w:firstLine="480"/>
        <w:jc w:val="both"/>
      </w:pPr>
      <w:r>
        <w:rPr>
          <w:b/>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pPr>
        <w:pStyle w:val="12"/>
        <w:ind w:firstLine="480"/>
        <w:jc w:val="both"/>
      </w:pPr>
      <w:r>
        <w:rPr>
          <w:b/>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12"/>
        <w:ind w:firstLine="480"/>
        <w:jc w:val="both"/>
      </w:pPr>
      <w:r>
        <w:rPr>
          <w:b/>
        </w:rPr>
        <w:t>①监狱企业参加采购活动时，应提供由省级以上监狱管理局、戒毒管理局（含新疆生产建设兵团）出具的属于监狱企业的证明文件。</w:t>
      </w:r>
    </w:p>
    <w:p>
      <w:pPr>
        <w:pStyle w:val="12"/>
        <w:ind w:firstLine="480"/>
        <w:jc w:val="both"/>
      </w:pPr>
      <w:r>
        <w:rPr>
          <w:b/>
        </w:rPr>
        <w:t>②监狱企业视同小型、微型企业。</w:t>
      </w:r>
    </w:p>
    <w:p>
      <w:pPr>
        <w:pStyle w:val="12"/>
        <w:ind w:firstLine="480"/>
        <w:jc w:val="both"/>
      </w:pPr>
      <w:r>
        <w:rPr>
          <w:b/>
        </w:rPr>
        <w:t>（5）残疾人福利性单位指同时符合下列条件的单位：</w:t>
      </w:r>
    </w:p>
    <w:p>
      <w:pPr>
        <w:pStyle w:val="12"/>
        <w:ind w:firstLine="480"/>
        <w:jc w:val="both"/>
      </w:pPr>
      <w:r>
        <w:rPr>
          <w:b/>
        </w:rPr>
        <w:t>①安置的残疾人占本单位在职职工人数的比例不低于25%（含25%），并且安置的残疾人人数不少于10人（含10人）；</w:t>
      </w:r>
    </w:p>
    <w:p>
      <w:pPr>
        <w:pStyle w:val="12"/>
        <w:ind w:firstLine="480"/>
        <w:jc w:val="both"/>
      </w:pPr>
      <w:r>
        <w:rPr>
          <w:b/>
        </w:rPr>
        <w:t>②依法与安置的每位残疾人签订了一年以上（含一年）的劳动合同或服务协议；</w:t>
      </w:r>
    </w:p>
    <w:p>
      <w:pPr>
        <w:pStyle w:val="12"/>
        <w:ind w:firstLine="480"/>
        <w:jc w:val="both"/>
      </w:pPr>
      <w:r>
        <w:rPr>
          <w:b/>
        </w:rPr>
        <w:t>③为安置的每位残疾人按月足额缴纳了基本养老保险、基本医疗保险、失业保险、工伤保险和生育保险等社会保险费；</w:t>
      </w:r>
    </w:p>
    <w:p>
      <w:pPr>
        <w:pStyle w:val="12"/>
        <w:ind w:firstLine="480"/>
        <w:jc w:val="both"/>
      </w:pPr>
      <w:r>
        <w:rPr>
          <w:b/>
        </w:rPr>
        <w:t>④通过银行等金融机构向安置的每位残疾人，按月支付了不低于单位所在区县适用的经省级人民政府批准的月最低工资标准的工资；</w:t>
      </w:r>
    </w:p>
    <w:p>
      <w:pPr>
        <w:pStyle w:val="12"/>
        <w:ind w:firstLine="480"/>
        <w:jc w:val="both"/>
      </w:pPr>
      <w:r>
        <w:rPr>
          <w:b/>
        </w:rPr>
        <w:t>⑤提供本单位制造的货物、承担的工程或服务，或提供其他残疾人福利性单位制造的货物（不包括使用非残疾人福利性单位注册商标的货物）。</w:t>
      </w:r>
    </w:p>
    <w:p>
      <w:pPr>
        <w:pStyle w:val="12"/>
        <w:ind w:firstLine="480"/>
        <w:jc w:val="both"/>
      </w:pPr>
      <w:r>
        <w:rPr>
          <w:b/>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pPr>
        <w:pStyle w:val="12"/>
        <w:ind w:firstLine="480"/>
        <w:jc w:val="both"/>
      </w:pPr>
      <w:r>
        <w:rPr>
          <w:b/>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12"/>
        <w:ind w:firstLine="480"/>
        <w:jc w:val="both"/>
      </w:pPr>
      <w:r>
        <w:rPr>
          <w:b/>
        </w:rPr>
        <w:t>17.5信用记录指由财政部确定的有关网站提供的相关主体信用信息。信用记录的查询及使用应符合财政部文件（财库[2016]125号）规定。</w:t>
      </w:r>
    </w:p>
    <w:p>
      <w:pPr>
        <w:pStyle w:val="12"/>
        <w:ind w:firstLine="480"/>
        <w:jc w:val="both"/>
      </w:pPr>
      <w:r>
        <w:rPr>
          <w:b/>
        </w:rPr>
        <w:t>17.6为落实政府采购政策需满足的要求：详见招标文件第一章。</w:t>
      </w:r>
    </w:p>
    <w:p>
      <w:pPr>
        <w:pStyle w:val="12"/>
        <w:jc w:val="both"/>
        <w:outlineLvl w:val="2"/>
      </w:pPr>
      <w:r>
        <w:rPr>
          <w:b/>
          <w:sz w:val="28"/>
        </w:rPr>
        <w:t>九、本项目的有关信息</w:t>
      </w:r>
    </w:p>
    <w:p>
      <w:pPr>
        <w:pStyle w:val="12"/>
        <w:ind w:firstLine="480"/>
        <w:jc w:val="both"/>
      </w:pPr>
      <w:r>
        <w:rPr>
          <w:b/>
        </w:rPr>
        <w:t>18、本项目的有关信息，包括但不限于：招标公告、更正公告（若有）、招标文件、招标文件的澄清或修改（若有）、中标公告、终止公告（若有）、废标公告（若有）等都将在招标文件载明的指定媒体发布。</w:t>
      </w:r>
    </w:p>
    <w:p>
      <w:pPr>
        <w:pStyle w:val="12"/>
        <w:ind w:firstLine="480"/>
        <w:jc w:val="both"/>
      </w:pPr>
      <w:r>
        <w:rPr>
          <w:b/>
        </w:rPr>
        <w:t>18.1指定媒体：详见招标文件第二章。</w:t>
      </w:r>
    </w:p>
    <w:p>
      <w:pPr>
        <w:pStyle w:val="12"/>
        <w:ind w:firstLine="480"/>
        <w:jc w:val="both"/>
      </w:pPr>
      <w:r>
        <w:rPr>
          <w:b/>
        </w:rPr>
        <w:t>18.2本项目的潜在投标人或投标人应随时关注指定媒体，否则产生不利后果由其自行承担。</w:t>
      </w:r>
    </w:p>
    <w:p>
      <w:pPr>
        <w:pStyle w:val="12"/>
        <w:jc w:val="both"/>
        <w:outlineLvl w:val="2"/>
      </w:pPr>
      <w:r>
        <w:rPr>
          <w:b/>
          <w:sz w:val="28"/>
        </w:rPr>
        <w:t>十、其他事项</w:t>
      </w:r>
    </w:p>
    <w:p>
      <w:pPr>
        <w:pStyle w:val="12"/>
        <w:ind w:firstLine="480"/>
        <w:jc w:val="both"/>
      </w:pPr>
      <w:r>
        <w:rPr>
          <w:b/>
        </w:rPr>
        <w:t>19、其他事项：</w:t>
      </w:r>
    </w:p>
    <w:p>
      <w:pPr>
        <w:pStyle w:val="12"/>
        <w:ind w:firstLine="480"/>
        <w:jc w:val="both"/>
      </w:pPr>
      <w:r>
        <w:rPr>
          <w:b/>
        </w:rPr>
        <w:t>19.1本项目中如涉及商品包装和快递包装的，其包装需求标准应不低于《关于印发〈商品包装政府采购需求标准(试行)〉、〈快递包装政府采购需求标准(试行)〉的通知》（财办库〔2020〕</w:t>
      </w:r>
      <w:r>
        <w:rPr>
          <w:b/>
        </w:rPr>
        <w:tab/>
      </w:r>
      <w:r>
        <w:rPr>
          <w:b/>
        </w:rPr>
        <w:tab/>
      </w:r>
      <w:r>
        <w:rPr>
          <w:b/>
        </w:rPr>
        <w:t xml:space="preserve"> 123号）规定的包装要求，其他包装需求详见招标文件具体规定。采购人、中标人双方签订合同及验收环节，应包含上述包装要求的条款。</w:t>
      </w:r>
    </w:p>
    <w:p>
      <w:pPr>
        <w:pStyle w:val="12"/>
        <w:ind w:firstLine="480"/>
        <w:jc w:val="both"/>
      </w:pPr>
      <w:r>
        <w:rPr>
          <w:b/>
        </w:rPr>
        <w:t>19.2其他：详见招标文件第二章。</w:t>
      </w:r>
    </w:p>
    <w:p>
      <w:pPr>
        <w:pStyle w:val="12"/>
        <w:jc w:val="both"/>
      </w:pPr>
    </w:p>
    <w:p>
      <w:pPr>
        <w:pStyle w:val="12"/>
        <w:jc w:val="both"/>
      </w:pPr>
      <w:r>
        <w:rPr>
          <w:b/>
        </w:rPr>
        <w:t xml:space="preserve"> </w:t>
      </w:r>
    </w:p>
    <w:p>
      <w:pPr>
        <w:pStyle w:val="12"/>
        <w:jc w:val="center"/>
        <w:outlineLvl w:val="1"/>
      </w:pPr>
      <w:r>
        <w:rPr>
          <w:b/>
          <w:sz w:val="36"/>
        </w:rPr>
        <w:t>第四章 资格审查与评标</w:t>
      </w:r>
    </w:p>
    <w:p>
      <w:pPr>
        <w:pStyle w:val="12"/>
        <w:jc w:val="both"/>
        <w:outlineLvl w:val="2"/>
      </w:pPr>
      <w:r>
        <w:rPr>
          <w:b/>
          <w:sz w:val="28"/>
        </w:rPr>
        <w:t>一、资格审查</w:t>
      </w:r>
    </w:p>
    <w:p>
      <w:pPr>
        <w:pStyle w:val="12"/>
        <w:ind w:firstLine="480"/>
        <w:jc w:val="both"/>
      </w:pPr>
      <w:r>
        <w:rPr>
          <w:b/>
        </w:rPr>
        <w:t>1、开标结束后，由</w:t>
      </w:r>
      <w:r>
        <w:rPr>
          <w:rFonts w:hint="eastAsia"/>
          <w:b/>
          <w:lang w:eastAsia="zh-CN"/>
        </w:rPr>
        <w:t>福建中恒达建设项目管理有限公司</w:t>
      </w:r>
      <w:r>
        <w:rPr>
          <w:b/>
        </w:rPr>
        <w:t>负责资格审查小组的组建及资格审查工作的组织。</w:t>
      </w:r>
    </w:p>
    <w:p>
      <w:pPr>
        <w:pStyle w:val="12"/>
        <w:ind w:firstLine="480"/>
        <w:jc w:val="both"/>
      </w:pPr>
      <w:r>
        <w:rPr>
          <w:b/>
        </w:rPr>
        <w:t>1.1资格审查小组</w:t>
      </w:r>
    </w:p>
    <w:p>
      <w:pPr>
        <w:pStyle w:val="12"/>
        <w:ind w:firstLine="480"/>
        <w:jc w:val="both"/>
      </w:pPr>
    </w:p>
    <w:p>
      <w:pPr>
        <w:pStyle w:val="12"/>
        <w:jc w:val="both"/>
      </w:pPr>
      <w:r>
        <w:rPr>
          <w:b/>
        </w:rPr>
        <w:t>资格审查小组由3人组成，并负责具体审查事务，其中由采购人派出的采购人代表至少1人，由</w:t>
      </w:r>
      <w:r>
        <w:rPr>
          <w:rFonts w:hint="eastAsia"/>
          <w:b/>
          <w:lang w:eastAsia="zh-CN"/>
        </w:rPr>
        <w:t>福建中恒达建设项目管理有限公司</w:t>
      </w:r>
      <w:r>
        <w:rPr>
          <w:b/>
        </w:rPr>
        <w:t>派出的工作人员至少1人，其余1人可为采购人代表或</w:t>
      </w:r>
      <w:r>
        <w:rPr>
          <w:rFonts w:hint="eastAsia"/>
          <w:b/>
          <w:lang w:eastAsia="zh-CN"/>
        </w:rPr>
        <w:t>福建中恒达建设项目管理有限公司</w:t>
      </w:r>
      <w:r>
        <w:rPr>
          <w:b/>
        </w:rPr>
        <w:t>的工作人员。</w:t>
      </w:r>
    </w:p>
    <w:p>
      <w:pPr>
        <w:pStyle w:val="12"/>
        <w:ind w:firstLine="480"/>
        <w:jc w:val="both"/>
      </w:pPr>
      <w:r>
        <w:rPr>
          <w:b/>
        </w:rPr>
        <w:t>1.2资格审查的依据是招标文件和电子投标文件。</w:t>
      </w:r>
    </w:p>
    <w:p>
      <w:pPr>
        <w:pStyle w:val="12"/>
        <w:ind w:firstLine="480"/>
        <w:jc w:val="both"/>
      </w:pPr>
      <w:r>
        <w:rPr>
          <w:b/>
        </w:rPr>
        <w:t>1.3资格审查的范围及内容：电子投标文件（资格及资信证明部分），具体如下：</w:t>
      </w:r>
    </w:p>
    <w:p>
      <w:pPr>
        <w:pStyle w:val="12"/>
        <w:ind w:firstLine="480"/>
        <w:jc w:val="both"/>
      </w:pPr>
      <w:r>
        <w:rPr>
          <w:b/>
        </w:rPr>
        <w:t>（1）“投标函”；</w:t>
      </w:r>
    </w:p>
    <w:p>
      <w:pPr>
        <w:pStyle w:val="12"/>
        <w:ind w:firstLine="480"/>
        <w:jc w:val="both"/>
      </w:pPr>
      <w:r>
        <w:rPr>
          <w:b/>
        </w:rPr>
        <w:t>（2）“投标人的资格及资信证明文件”</w:t>
      </w:r>
    </w:p>
    <w:p>
      <w:pPr>
        <w:pStyle w:val="12"/>
        <w:ind w:firstLine="480"/>
        <w:jc w:val="both"/>
      </w:pPr>
      <w:r>
        <w:rPr>
          <w:b/>
        </w:rPr>
        <w:t>①一般资格证明文件：</w:t>
      </w:r>
    </w:p>
    <w:p>
      <w:pPr>
        <w:pStyle w:val="12"/>
        <w:jc w:val="both"/>
      </w:pPr>
    </w:p>
    <w:p>
      <w:pPr>
        <w:pStyle w:val="12"/>
        <w:jc w:val="both"/>
      </w:pPr>
      <w:r>
        <w:rPr>
          <w:b/>
        </w:rPr>
        <w:t>采购包1：</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3322"/>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12"/>
              <w:jc w:val="both"/>
            </w:pPr>
            <w:r>
              <w:rPr>
                <w:b/>
              </w:rPr>
              <w:t>序号</w:t>
            </w:r>
          </w:p>
        </w:tc>
        <w:tc>
          <w:tcPr>
            <w:tcW w:w="3322" w:type="dxa"/>
          </w:tcPr>
          <w:p>
            <w:pPr>
              <w:pStyle w:val="12"/>
              <w:jc w:val="both"/>
            </w:pPr>
            <w:r>
              <w:rPr>
                <w:b/>
              </w:rPr>
              <w:t>资格审查要求概况</w:t>
            </w:r>
          </w:p>
        </w:tc>
        <w:tc>
          <w:tcPr>
            <w:tcW w:w="4153" w:type="dxa"/>
          </w:tcPr>
          <w:p>
            <w:pPr>
              <w:pStyle w:val="12"/>
              <w:jc w:val="both"/>
            </w:pPr>
            <w:r>
              <w:rPr>
                <w:b/>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12"/>
              <w:jc w:val="both"/>
            </w:pPr>
            <w:r>
              <w:rPr>
                <w:b/>
              </w:rPr>
              <w:t>1</w:t>
            </w:r>
          </w:p>
        </w:tc>
        <w:tc>
          <w:tcPr>
            <w:tcW w:w="3322" w:type="dxa"/>
          </w:tcPr>
          <w:p>
            <w:pPr>
              <w:pStyle w:val="12"/>
              <w:jc w:val="both"/>
            </w:pPr>
            <w:r>
              <w:rPr>
                <w:b/>
              </w:rPr>
              <w:t>单位授权书</w:t>
            </w:r>
          </w:p>
        </w:tc>
        <w:tc>
          <w:tcPr>
            <w:tcW w:w="4153" w:type="dxa"/>
          </w:tcPr>
          <w:p>
            <w:pPr>
              <w:pStyle w:val="12"/>
              <w:jc w:val="both"/>
            </w:pPr>
            <w:r>
              <w:rPr>
                <w:b/>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12"/>
              <w:jc w:val="both"/>
            </w:pPr>
            <w:r>
              <w:rPr>
                <w:b/>
              </w:rPr>
              <w:t>2</w:t>
            </w:r>
          </w:p>
        </w:tc>
        <w:tc>
          <w:tcPr>
            <w:tcW w:w="3322" w:type="dxa"/>
          </w:tcPr>
          <w:p>
            <w:pPr>
              <w:pStyle w:val="12"/>
              <w:jc w:val="both"/>
            </w:pPr>
            <w:r>
              <w:rPr>
                <w:b/>
              </w:rPr>
              <w:t>营业执照等证明文件</w:t>
            </w:r>
          </w:p>
        </w:tc>
        <w:tc>
          <w:tcPr>
            <w:tcW w:w="4153" w:type="dxa"/>
          </w:tcPr>
          <w:p>
            <w:pPr>
              <w:pStyle w:val="12"/>
              <w:jc w:val="both"/>
            </w:pPr>
            <w:r>
              <w:rPr>
                <w:b/>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12"/>
              <w:jc w:val="both"/>
            </w:pPr>
            <w:r>
              <w:rPr>
                <w:b/>
              </w:rPr>
              <w:t>3</w:t>
            </w:r>
          </w:p>
        </w:tc>
        <w:tc>
          <w:tcPr>
            <w:tcW w:w="3322" w:type="dxa"/>
          </w:tcPr>
          <w:p>
            <w:pPr>
              <w:pStyle w:val="12"/>
              <w:jc w:val="both"/>
            </w:pPr>
            <w:r>
              <w:rPr>
                <w:b/>
              </w:rPr>
              <w:t>提供财务状况报告(财务报告、或资信证明）</w:t>
            </w:r>
          </w:p>
        </w:tc>
        <w:tc>
          <w:tcPr>
            <w:tcW w:w="4153" w:type="dxa"/>
          </w:tcPr>
          <w:p>
            <w:pPr>
              <w:pStyle w:val="12"/>
              <w:jc w:val="both"/>
            </w:pPr>
            <w:r>
              <w:rPr>
                <w:b/>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12"/>
              <w:jc w:val="both"/>
            </w:pPr>
            <w:r>
              <w:rPr>
                <w:b/>
              </w:rPr>
              <w:t>4</w:t>
            </w:r>
          </w:p>
        </w:tc>
        <w:tc>
          <w:tcPr>
            <w:tcW w:w="3322" w:type="dxa"/>
          </w:tcPr>
          <w:p>
            <w:pPr>
              <w:pStyle w:val="12"/>
              <w:jc w:val="both"/>
            </w:pPr>
            <w:r>
              <w:rPr>
                <w:b/>
              </w:rPr>
              <w:t>依法缴纳税收证明材料</w:t>
            </w:r>
          </w:p>
        </w:tc>
        <w:tc>
          <w:tcPr>
            <w:tcW w:w="4153" w:type="dxa"/>
          </w:tcPr>
          <w:p>
            <w:pPr>
              <w:pStyle w:val="12"/>
              <w:jc w:val="both"/>
            </w:pPr>
            <w:r>
              <w:rPr>
                <w:b/>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12"/>
              <w:jc w:val="both"/>
            </w:pPr>
            <w:r>
              <w:rPr>
                <w:b/>
              </w:rPr>
              <w:t>5</w:t>
            </w:r>
          </w:p>
        </w:tc>
        <w:tc>
          <w:tcPr>
            <w:tcW w:w="3322" w:type="dxa"/>
          </w:tcPr>
          <w:p>
            <w:pPr>
              <w:pStyle w:val="12"/>
              <w:jc w:val="both"/>
            </w:pPr>
            <w:r>
              <w:rPr>
                <w:b/>
              </w:rPr>
              <w:t>依法缴纳社会保障资金证明材料</w:t>
            </w:r>
          </w:p>
        </w:tc>
        <w:tc>
          <w:tcPr>
            <w:tcW w:w="4153" w:type="dxa"/>
          </w:tcPr>
          <w:p>
            <w:pPr>
              <w:pStyle w:val="12"/>
              <w:jc w:val="both"/>
            </w:pPr>
            <w:r>
              <w:rPr>
                <w:b/>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12"/>
              <w:jc w:val="both"/>
            </w:pPr>
            <w:r>
              <w:rPr>
                <w:b/>
              </w:rPr>
              <w:t>6</w:t>
            </w:r>
          </w:p>
        </w:tc>
        <w:tc>
          <w:tcPr>
            <w:tcW w:w="3322" w:type="dxa"/>
          </w:tcPr>
          <w:p>
            <w:pPr>
              <w:pStyle w:val="12"/>
              <w:jc w:val="both"/>
            </w:pPr>
            <w:r>
              <w:rPr>
                <w:b/>
              </w:rPr>
              <w:t>具备履行合同所必需设备和专业技术能力的声明函(若有)</w:t>
            </w:r>
          </w:p>
        </w:tc>
        <w:tc>
          <w:tcPr>
            <w:tcW w:w="4153" w:type="dxa"/>
          </w:tcPr>
          <w:p>
            <w:pPr>
              <w:pStyle w:val="12"/>
              <w:jc w:val="both"/>
            </w:pPr>
            <w:r>
              <w:rPr>
                <w:b/>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12"/>
              <w:jc w:val="both"/>
            </w:pPr>
            <w:r>
              <w:rPr>
                <w:b/>
              </w:rPr>
              <w:t>7</w:t>
            </w:r>
          </w:p>
        </w:tc>
        <w:tc>
          <w:tcPr>
            <w:tcW w:w="3322" w:type="dxa"/>
          </w:tcPr>
          <w:p>
            <w:pPr>
              <w:pStyle w:val="12"/>
              <w:jc w:val="both"/>
            </w:pPr>
            <w:r>
              <w:rPr>
                <w:b/>
              </w:rPr>
              <w:t>参加采购活动前三年内在经营活动中没有重大违法记录的声明</w:t>
            </w:r>
          </w:p>
        </w:tc>
        <w:tc>
          <w:tcPr>
            <w:tcW w:w="4153" w:type="dxa"/>
          </w:tcPr>
          <w:p>
            <w:pPr>
              <w:pStyle w:val="12"/>
              <w:jc w:val="both"/>
            </w:pPr>
            <w:r>
              <w:rPr>
                <w:b/>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12"/>
              <w:jc w:val="both"/>
            </w:pPr>
            <w:r>
              <w:rPr>
                <w:b/>
              </w:rPr>
              <w:t>8</w:t>
            </w:r>
          </w:p>
        </w:tc>
        <w:tc>
          <w:tcPr>
            <w:tcW w:w="3322" w:type="dxa"/>
          </w:tcPr>
          <w:p>
            <w:pPr>
              <w:pStyle w:val="12"/>
              <w:jc w:val="both"/>
            </w:pPr>
            <w:r>
              <w:rPr>
                <w:b/>
              </w:rPr>
              <w:t>信用记录查询结果</w:t>
            </w:r>
          </w:p>
        </w:tc>
        <w:tc>
          <w:tcPr>
            <w:tcW w:w="4153" w:type="dxa"/>
          </w:tcPr>
          <w:p>
            <w:pPr>
              <w:pStyle w:val="12"/>
              <w:jc w:val="both"/>
            </w:pPr>
            <w:r>
              <w:rPr>
                <w:b/>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12"/>
              <w:jc w:val="both"/>
            </w:pPr>
            <w:r>
              <w:rPr>
                <w:b/>
              </w:rPr>
              <w:t>9</w:t>
            </w:r>
          </w:p>
        </w:tc>
        <w:tc>
          <w:tcPr>
            <w:tcW w:w="3322" w:type="dxa"/>
          </w:tcPr>
          <w:p>
            <w:pPr>
              <w:pStyle w:val="12"/>
              <w:jc w:val="both"/>
            </w:pPr>
            <w:r>
              <w:rPr>
                <w:b/>
              </w:rPr>
              <w:t>中小企业声明函（以资格条件落实中小企业扶持政策时适用 ）</w:t>
            </w:r>
          </w:p>
        </w:tc>
        <w:tc>
          <w:tcPr>
            <w:tcW w:w="4153" w:type="dxa"/>
          </w:tcPr>
          <w:p>
            <w:pPr>
              <w:pStyle w:val="12"/>
              <w:jc w:val="both"/>
            </w:pPr>
            <w:r>
              <w:rPr>
                <w:b/>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12"/>
              <w:jc w:val="both"/>
            </w:pPr>
            <w:r>
              <w:rPr>
                <w:b/>
              </w:rPr>
              <w:t>10</w:t>
            </w:r>
          </w:p>
        </w:tc>
        <w:tc>
          <w:tcPr>
            <w:tcW w:w="3322" w:type="dxa"/>
          </w:tcPr>
          <w:p>
            <w:pPr>
              <w:pStyle w:val="12"/>
              <w:jc w:val="both"/>
            </w:pPr>
            <w:r>
              <w:rPr>
                <w:b/>
              </w:rPr>
              <w:t>联合体协议（若有）</w:t>
            </w:r>
          </w:p>
        </w:tc>
        <w:tc>
          <w:tcPr>
            <w:tcW w:w="4153" w:type="dxa"/>
          </w:tcPr>
          <w:p>
            <w:pPr>
              <w:pStyle w:val="12"/>
              <w:jc w:val="both"/>
            </w:pPr>
            <w:r>
              <w:rPr>
                <w:b/>
              </w:rPr>
              <w:t>①招标文件接受联合体投标且投标人为联合体的，投标人应提供本协议；否则无须提供。 ②本协议由委托代理人签字或盖章的，应按照招标文件第七章载明的格式提供“单位授权书”。</w:t>
            </w:r>
          </w:p>
        </w:tc>
      </w:tr>
    </w:tbl>
    <w:p>
      <w:pPr>
        <w:pStyle w:val="12"/>
        <w:ind w:firstLine="480"/>
        <w:jc w:val="both"/>
      </w:pPr>
      <w:r>
        <w:rPr>
          <w:b/>
        </w:rPr>
        <w:t>※备注说明</w:t>
      </w:r>
    </w:p>
    <w:p>
      <w:pPr>
        <w:pStyle w:val="12"/>
        <w:ind w:firstLine="480"/>
        <w:jc w:val="both"/>
      </w:pPr>
      <w:r>
        <w:rPr>
          <w:b/>
        </w:rPr>
        <w:t>①投标人应根据自身实际情况提供上述资格要求的证明材料，格式可参考招标文件第七章提供。</w:t>
      </w:r>
    </w:p>
    <w:p>
      <w:pPr>
        <w:pStyle w:val="12"/>
        <w:ind w:firstLine="480"/>
        <w:jc w:val="both"/>
      </w:pPr>
      <w:r>
        <w:rPr>
          <w:b/>
        </w:rPr>
        <w:t>②投标人提供的相应证明材料复印件均应符合：内容完整、清晰、整洁，并由投标人加盖其单位公章。</w:t>
      </w:r>
    </w:p>
    <w:p>
      <w:pPr>
        <w:pStyle w:val="12"/>
        <w:ind w:firstLine="480"/>
        <w:jc w:val="both"/>
      </w:pPr>
      <w:r>
        <w:rPr>
          <w:b/>
        </w:rPr>
        <w:t>②.其他资格证明文件：</w:t>
      </w:r>
    </w:p>
    <w:p>
      <w:pPr>
        <w:pStyle w:val="12"/>
        <w:jc w:val="left"/>
      </w:pPr>
    </w:p>
    <w:p>
      <w:pPr>
        <w:pStyle w:val="12"/>
        <w:jc w:val="left"/>
      </w:pPr>
    </w:p>
    <w:p>
      <w:pPr>
        <w:pStyle w:val="12"/>
        <w:jc w:val="left"/>
      </w:pPr>
    </w:p>
    <w:p>
      <w:pPr>
        <w:pStyle w:val="12"/>
        <w:jc w:val="left"/>
        <w:rPr>
          <w:rFonts w:hint="eastAsia" w:eastAsiaTheme="minorEastAsia"/>
          <w:lang w:val="en-US" w:eastAsia="zh-CN"/>
        </w:rPr>
      </w:pPr>
      <w:r>
        <w:t>采购包1：</w:t>
      </w:r>
      <w:r>
        <w:rPr>
          <w:rFonts w:hint="eastAsia"/>
          <w:lang w:val="en-US" w:eastAsia="zh-CN"/>
        </w:rPr>
        <w:t>无</w:t>
      </w:r>
    </w:p>
    <w:p>
      <w:pPr>
        <w:pStyle w:val="12"/>
        <w:ind w:firstLine="480"/>
        <w:jc w:val="both"/>
      </w:pPr>
      <w:r>
        <w:rPr>
          <w:b/>
        </w:rPr>
        <w:t>（3）投标保证金。</w:t>
      </w:r>
    </w:p>
    <w:p>
      <w:pPr>
        <w:pStyle w:val="12"/>
        <w:ind w:firstLine="480"/>
        <w:jc w:val="both"/>
      </w:pPr>
      <w:r>
        <w:rPr>
          <w:b/>
        </w:rPr>
        <w:t>1.4有下列情形之一的，资格审查不合格：</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12"/>
              <w:jc w:val="both"/>
            </w:pPr>
            <w:r>
              <w:rPr>
                <w:b/>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12"/>
              <w:jc w:val="both"/>
            </w:pPr>
            <w:r>
              <w:rPr>
                <w:b/>
              </w:rPr>
              <w:t>未按照招标文件规定提交投标函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12"/>
              <w:jc w:val="both"/>
            </w:pPr>
            <w:r>
              <w:rPr>
                <w:b/>
              </w:rPr>
              <w:t>未按照招标文件规定提交投标人的资格及资信文件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12"/>
              <w:jc w:val="both"/>
            </w:pPr>
            <w:r>
              <w:rPr>
                <w:b/>
              </w:rPr>
              <w:t>未按照招标文件规定提交投标保证金</w:t>
            </w:r>
          </w:p>
        </w:tc>
      </w:tr>
    </w:tbl>
    <w:p>
      <w:pPr>
        <w:pStyle w:val="12"/>
        <w:ind w:firstLine="480"/>
        <w:jc w:val="left"/>
      </w:pPr>
    </w:p>
    <w:p>
      <w:pPr>
        <w:pStyle w:val="12"/>
        <w:jc w:val="left"/>
      </w:pPr>
    </w:p>
    <w:p>
      <w:pPr>
        <w:pStyle w:val="12"/>
        <w:jc w:val="left"/>
      </w:pPr>
    </w:p>
    <w:p>
      <w:pPr>
        <w:pStyle w:val="12"/>
        <w:jc w:val="left"/>
      </w:pPr>
      <w:r>
        <w:t>采购包1：</w:t>
      </w:r>
    </w:p>
    <w:p>
      <w:pPr>
        <w:pStyle w:val="12"/>
        <w:jc w:val="left"/>
      </w:pPr>
      <w:r>
        <w:t>资格审查不合格项：无</w:t>
      </w:r>
    </w:p>
    <w:p>
      <w:pPr>
        <w:pStyle w:val="12"/>
        <w:ind w:firstLine="480"/>
        <w:jc w:val="both"/>
      </w:pPr>
      <w:r>
        <w:rPr>
          <w:b/>
        </w:rPr>
        <w:t>1.5若本项目接受联合体投标且投标人为联合体，联合体中有同类资质的供应商按照联合体分工承担相同工作的，应先按照资质等级较低的供应商确定资质等级，再按照本章第1.2、1.3、1.4条规定进行资格审查。</w:t>
      </w:r>
    </w:p>
    <w:p>
      <w:pPr>
        <w:pStyle w:val="12"/>
        <w:ind w:firstLine="480"/>
        <w:jc w:val="both"/>
      </w:pPr>
      <w:r>
        <w:rPr>
          <w:b/>
        </w:rPr>
        <w:t>2、资格审查情况不得私自外泄，有关信息由</w:t>
      </w:r>
      <w:r>
        <w:rPr>
          <w:rFonts w:hint="eastAsia"/>
          <w:b/>
          <w:lang w:eastAsia="zh-CN"/>
        </w:rPr>
        <w:t>福建中恒达建设项目管理有限公司</w:t>
      </w:r>
      <w:r>
        <w:rPr>
          <w:b/>
        </w:rPr>
        <w:t>统一对外发布。</w:t>
      </w:r>
    </w:p>
    <w:p>
      <w:pPr>
        <w:pStyle w:val="12"/>
        <w:ind w:firstLine="480"/>
        <w:jc w:val="both"/>
      </w:pPr>
      <w:r>
        <w:rPr>
          <w:b/>
        </w:rPr>
        <w:t>3、资格审查合格的投标人不足三家的，不进行评标。同时，本次采购活动结束，</w:t>
      </w:r>
      <w:r>
        <w:rPr>
          <w:rFonts w:hint="eastAsia"/>
          <w:b/>
          <w:lang w:eastAsia="zh-CN"/>
        </w:rPr>
        <w:t>福建中恒达建设项目管理有限公司</w:t>
      </w:r>
      <w:r>
        <w:rPr>
          <w:b/>
        </w:rPr>
        <w:t>将依法组织后续采购活动（包括但不限于：重新招标、采用其他方式采购等）。</w:t>
      </w:r>
    </w:p>
    <w:p>
      <w:pPr>
        <w:pStyle w:val="12"/>
        <w:jc w:val="both"/>
        <w:outlineLvl w:val="2"/>
      </w:pPr>
      <w:r>
        <w:rPr>
          <w:b/>
          <w:sz w:val="28"/>
        </w:rPr>
        <w:t>二、评标</w:t>
      </w:r>
    </w:p>
    <w:p>
      <w:pPr>
        <w:pStyle w:val="12"/>
        <w:ind w:firstLine="480"/>
        <w:jc w:val="both"/>
      </w:pPr>
      <w:r>
        <w:rPr>
          <w:b/>
        </w:rPr>
        <w:t>4、资格审查结束后，由</w:t>
      </w:r>
      <w:r>
        <w:rPr>
          <w:rFonts w:hint="eastAsia"/>
          <w:b/>
          <w:lang w:eastAsia="zh-CN"/>
        </w:rPr>
        <w:t>福建中恒达建设项目管理有限公司</w:t>
      </w:r>
      <w:r>
        <w:rPr>
          <w:b/>
        </w:rPr>
        <w:t>负责评标委员会的组建及评标工作的组织。</w:t>
      </w:r>
    </w:p>
    <w:p>
      <w:pPr>
        <w:pStyle w:val="12"/>
        <w:ind w:firstLine="480"/>
        <w:jc w:val="both"/>
      </w:pPr>
      <w:r>
        <w:rPr>
          <w:b/>
        </w:rPr>
        <w:t>5、评标委员会</w:t>
      </w:r>
    </w:p>
    <w:p>
      <w:pPr>
        <w:pStyle w:val="12"/>
        <w:ind w:firstLine="480"/>
        <w:jc w:val="both"/>
      </w:pPr>
    </w:p>
    <w:p>
      <w:pPr>
        <w:pStyle w:val="12"/>
        <w:jc w:val="both"/>
      </w:pPr>
    </w:p>
    <w:p>
      <w:pPr>
        <w:pStyle w:val="12"/>
        <w:jc w:val="both"/>
        <w:rPr>
          <w:color w:val="0000FF"/>
          <w:highlight w:val="none"/>
        </w:rPr>
      </w:pPr>
      <w:r>
        <w:rPr>
          <w:b/>
          <w:color w:val="0000FF"/>
          <w:highlight w:val="none"/>
        </w:rPr>
        <w:t>由采购人代表和评审专家两部分共</w:t>
      </w:r>
      <w:r>
        <w:rPr>
          <w:rFonts w:hint="eastAsia"/>
          <w:b/>
          <w:color w:val="0000FF"/>
          <w:highlight w:val="none"/>
          <w:lang w:val="en-US" w:eastAsia="zh-CN"/>
        </w:rPr>
        <w:t>7</w:t>
      </w:r>
      <w:r>
        <w:rPr>
          <w:b/>
          <w:color w:val="0000FF"/>
          <w:highlight w:val="none"/>
        </w:rPr>
        <w:t>人组成，其中由福建省政府采购评审专家库产生的评审专家</w:t>
      </w:r>
      <w:r>
        <w:rPr>
          <w:rFonts w:hint="eastAsia"/>
          <w:b/>
          <w:color w:val="0000FF"/>
          <w:highlight w:val="none"/>
          <w:lang w:val="en-US" w:eastAsia="zh-CN"/>
        </w:rPr>
        <w:t>7</w:t>
      </w:r>
      <w:r>
        <w:rPr>
          <w:b/>
          <w:color w:val="0000FF"/>
          <w:highlight w:val="none"/>
        </w:rPr>
        <w:t>人。</w:t>
      </w:r>
    </w:p>
    <w:p>
      <w:pPr>
        <w:pStyle w:val="12"/>
        <w:ind w:firstLine="480"/>
        <w:jc w:val="both"/>
      </w:pPr>
      <w:r>
        <w:rPr>
          <w:b/>
        </w:rPr>
        <w:t>5.2评标委员会负责具体评标事务，并按照下列原则依法独立履行有关职责：</w:t>
      </w:r>
    </w:p>
    <w:p>
      <w:pPr>
        <w:pStyle w:val="12"/>
        <w:ind w:firstLine="480"/>
        <w:jc w:val="both"/>
      </w:pPr>
      <w:r>
        <w:rPr>
          <w:b/>
        </w:rPr>
        <w:t>（1）评标应保护国家利益、社会公共利益和各方当事人合法权益，提高采购效益，保证项目质量。</w:t>
      </w:r>
    </w:p>
    <w:p>
      <w:pPr>
        <w:pStyle w:val="12"/>
        <w:ind w:firstLine="480"/>
        <w:jc w:val="both"/>
      </w:pPr>
      <w:r>
        <w:rPr>
          <w:b/>
        </w:rPr>
        <w:t>（2）评标应遵循公平、公正、科学、严谨和择优原则。</w:t>
      </w:r>
    </w:p>
    <w:p>
      <w:pPr>
        <w:pStyle w:val="12"/>
        <w:ind w:firstLine="480"/>
        <w:jc w:val="both"/>
      </w:pPr>
      <w:r>
        <w:rPr>
          <w:b/>
        </w:rPr>
        <w:t>（3）评标的依据是招标文件和电子投标文件。</w:t>
      </w:r>
    </w:p>
    <w:p>
      <w:pPr>
        <w:pStyle w:val="12"/>
        <w:ind w:firstLine="480"/>
        <w:jc w:val="both"/>
      </w:pPr>
      <w:r>
        <w:rPr>
          <w:b/>
        </w:rPr>
        <w:t>（4）应按照招标文件规定推荐中标候选人或确定中标人。</w:t>
      </w:r>
    </w:p>
    <w:p>
      <w:pPr>
        <w:pStyle w:val="12"/>
        <w:ind w:firstLine="480"/>
        <w:jc w:val="both"/>
      </w:pPr>
      <w:r>
        <w:rPr>
          <w:b/>
        </w:rPr>
        <w:t>（5）评标应遵守下列评标纪律：</w:t>
      </w:r>
    </w:p>
    <w:p>
      <w:pPr>
        <w:pStyle w:val="12"/>
        <w:ind w:firstLine="480"/>
        <w:jc w:val="both"/>
      </w:pPr>
      <w:r>
        <w:rPr>
          <w:b/>
        </w:rPr>
        <w:t>①评标情况不得私自外泄，有关信息由</w:t>
      </w:r>
      <w:r>
        <w:rPr>
          <w:rFonts w:hint="eastAsia"/>
          <w:b/>
          <w:lang w:eastAsia="zh-CN"/>
        </w:rPr>
        <w:t>福建中恒达建设项目管理有限公司</w:t>
      </w:r>
      <w:r>
        <w:rPr>
          <w:b/>
        </w:rPr>
        <w:t>统一对外发布。</w:t>
      </w:r>
    </w:p>
    <w:p>
      <w:pPr>
        <w:pStyle w:val="12"/>
        <w:ind w:firstLine="480"/>
        <w:jc w:val="both"/>
      </w:pPr>
      <w:r>
        <w:rPr>
          <w:b/>
        </w:rPr>
        <w:t>②对</w:t>
      </w:r>
      <w:r>
        <w:rPr>
          <w:rFonts w:hint="eastAsia"/>
          <w:b/>
          <w:lang w:eastAsia="zh-CN"/>
        </w:rPr>
        <w:t>福建中恒达建设项目管理有限公司</w:t>
      </w:r>
      <w:r>
        <w:rPr>
          <w:b/>
        </w:rPr>
        <w:t>或投标人提供的要求保密的资料，不得摘记翻印和外传。</w:t>
      </w:r>
    </w:p>
    <w:p>
      <w:pPr>
        <w:pStyle w:val="12"/>
        <w:ind w:firstLine="480"/>
        <w:jc w:val="both"/>
      </w:pPr>
      <w:r>
        <w:rPr>
          <w:b/>
        </w:rPr>
        <w:t>③不得收受投标人或有关人员的任何礼物，不得串联鼓动其他人袒护某投标人。若与投标人存在利害关系，则应主动声明并回避。</w:t>
      </w:r>
    </w:p>
    <w:p>
      <w:pPr>
        <w:pStyle w:val="12"/>
        <w:ind w:firstLine="480"/>
        <w:jc w:val="both"/>
      </w:pPr>
      <w:r>
        <w:rPr>
          <w:b/>
        </w:rPr>
        <w:t>④全体评委应按照招标文件规定进行评标，一切认定事项应查有实据且不得弄虚作假。</w:t>
      </w:r>
    </w:p>
    <w:p>
      <w:pPr>
        <w:pStyle w:val="12"/>
        <w:ind w:firstLine="480"/>
        <w:jc w:val="both"/>
      </w:pPr>
      <w:r>
        <w:rPr>
          <w:b/>
        </w:rPr>
        <w:t>⑤评标中应充分发扬民主，推荐中标候选人或确定中标人后要服从评标报告。</w:t>
      </w:r>
    </w:p>
    <w:p>
      <w:pPr>
        <w:pStyle w:val="12"/>
        <w:ind w:firstLine="480"/>
        <w:jc w:val="both"/>
      </w:pPr>
      <w:r>
        <w:rPr>
          <w:b/>
        </w:rPr>
        <w:t>※对违反评标纪律的评委，将取消其评委资格，对评标工作造成严重损失者将予以通报批评乃至追究法律责任。</w:t>
      </w:r>
    </w:p>
    <w:p>
      <w:pPr>
        <w:pStyle w:val="12"/>
        <w:ind w:firstLine="480"/>
        <w:jc w:val="both"/>
      </w:pPr>
      <w:r>
        <w:rPr>
          <w:b/>
        </w:rPr>
        <w:t>6、评标程序</w:t>
      </w:r>
    </w:p>
    <w:p>
      <w:pPr>
        <w:pStyle w:val="12"/>
        <w:ind w:firstLine="480"/>
        <w:jc w:val="both"/>
      </w:pPr>
      <w:r>
        <w:rPr>
          <w:b/>
        </w:rPr>
        <w:t>6.1评标前的准备工作</w:t>
      </w:r>
    </w:p>
    <w:p>
      <w:pPr>
        <w:pStyle w:val="12"/>
        <w:ind w:firstLine="480"/>
        <w:jc w:val="both"/>
      </w:pPr>
      <w:r>
        <w:rPr>
          <w:b/>
        </w:rPr>
        <w:t>（1）全体评委应认真审阅招标文件，了解评委应履行或遵守的职责、义务和评标纪律。</w:t>
      </w:r>
    </w:p>
    <w:p>
      <w:pPr>
        <w:pStyle w:val="12"/>
        <w:ind w:firstLine="480"/>
        <w:jc w:val="both"/>
      </w:pPr>
      <w:r>
        <w:rPr>
          <w:b/>
        </w:rPr>
        <w:t>（2）参加评标委员会的采购人代表可对本项目的背景和采购需求进行介绍，介绍材料应以书面形式提交（随采购文件一并存档），介绍内容不得含有歧视性、倾向性意见，不得超出招标文件所述范围。</w:t>
      </w:r>
    </w:p>
    <w:p>
      <w:pPr>
        <w:pStyle w:val="12"/>
        <w:ind w:firstLine="480"/>
        <w:jc w:val="both"/>
      </w:pPr>
      <w:r>
        <w:rPr>
          <w:b/>
        </w:rPr>
        <w:t>6.2符合性审查</w:t>
      </w:r>
    </w:p>
    <w:p>
      <w:pPr>
        <w:pStyle w:val="12"/>
        <w:ind w:firstLine="480"/>
        <w:jc w:val="both"/>
      </w:pPr>
      <w:r>
        <w:rPr>
          <w:b/>
        </w:rPr>
        <w:t>（1）评标委员会依据招标文件的实质性要求，对通过资格审查的电子投标文件进行符合性审查，以确定其是否满足招标文件的实质性要求。</w:t>
      </w:r>
    </w:p>
    <w:p>
      <w:pPr>
        <w:pStyle w:val="12"/>
        <w:ind w:firstLine="480"/>
        <w:jc w:val="both"/>
      </w:pPr>
      <w:r>
        <w:rPr>
          <w:b/>
        </w:rPr>
        <w:t>（2）满足招标文件的实质性要求指电子投标文件对招标文件实质性要求的响应不存在重大偏差或保留。</w:t>
      </w:r>
    </w:p>
    <w:p>
      <w:pPr>
        <w:pStyle w:val="12"/>
        <w:ind w:firstLine="480"/>
        <w:jc w:val="both"/>
      </w:pPr>
      <w:r>
        <w:rPr>
          <w:b/>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12"/>
        <w:ind w:firstLine="480"/>
        <w:jc w:val="both"/>
      </w:pPr>
      <w:r>
        <w:rPr>
          <w:b/>
        </w:rPr>
        <w:t>（4）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pPr>
        <w:pStyle w:val="12"/>
        <w:ind w:firstLine="480"/>
        <w:jc w:val="both"/>
      </w:pPr>
      <w:r>
        <w:rPr>
          <w:b/>
        </w:rPr>
        <w:t>（5）评标委员会对所有投标人都执行相同的程序和标准。</w:t>
      </w:r>
    </w:p>
    <w:p>
      <w:pPr>
        <w:pStyle w:val="12"/>
        <w:ind w:firstLine="480"/>
        <w:jc w:val="both"/>
      </w:pPr>
      <w:r>
        <w:rPr>
          <w:b/>
        </w:rPr>
        <w:t>（6）有下列情形之一的，符合性审查不合格：</w:t>
      </w:r>
    </w:p>
    <w:p>
      <w:pPr>
        <w:pStyle w:val="12"/>
        <w:ind w:firstLine="480"/>
        <w:jc w:val="both"/>
      </w:pPr>
      <w:r>
        <w:rPr>
          <w:b/>
        </w:rPr>
        <w:t>①项目一般情形：</w:t>
      </w:r>
    </w:p>
    <w:p>
      <w:pPr>
        <w:pStyle w:val="12"/>
        <w:jc w:val="left"/>
      </w:pPr>
    </w:p>
    <w:p>
      <w:pPr>
        <w:pStyle w:val="12"/>
        <w:jc w:val="left"/>
      </w:pPr>
    </w:p>
    <w:p>
      <w:pPr>
        <w:pStyle w:val="12"/>
        <w:jc w:val="left"/>
      </w:pPr>
    </w:p>
    <w:p>
      <w:pPr>
        <w:pStyle w:val="12"/>
        <w:jc w:val="left"/>
      </w:pPr>
      <w:r>
        <w:t>采购包1：</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3115"/>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12"/>
              <w:jc w:val="left"/>
            </w:pPr>
            <w:r>
              <w:t>序号</w:t>
            </w:r>
          </w:p>
        </w:tc>
        <w:tc>
          <w:tcPr>
            <w:tcW w:w="3115" w:type="dxa"/>
          </w:tcPr>
          <w:p>
            <w:pPr>
              <w:pStyle w:val="12"/>
              <w:jc w:val="left"/>
            </w:pPr>
            <w:r>
              <w:t>符合审查要求概况</w:t>
            </w:r>
          </w:p>
        </w:tc>
        <w:tc>
          <w:tcPr>
            <w:tcW w:w="4153" w:type="dxa"/>
          </w:tcPr>
          <w:p>
            <w:pPr>
              <w:pStyle w:val="12"/>
              <w:jc w:val="left"/>
            </w:pPr>
            <w: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12"/>
              <w:jc w:val="left"/>
            </w:pPr>
            <w:r>
              <w:t>1</w:t>
            </w:r>
          </w:p>
        </w:tc>
        <w:tc>
          <w:tcPr>
            <w:tcW w:w="3115" w:type="dxa"/>
          </w:tcPr>
          <w:p>
            <w:pPr>
              <w:pStyle w:val="12"/>
              <w:jc w:val="left"/>
            </w:pPr>
            <w:r>
              <w:t>情形1</w:t>
            </w:r>
          </w:p>
        </w:tc>
        <w:tc>
          <w:tcPr>
            <w:tcW w:w="4153" w:type="dxa"/>
          </w:tcPr>
          <w:p>
            <w:pPr>
              <w:pStyle w:val="12"/>
              <w:jc w:val="left"/>
            </w:pPr>
            <w:r>
              <w:t>违反招标文件中载明“投标无效”条款的规定；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12"/>
              <w:jc w:val="left"/>
            </w:pPr>
            <w:r>
              <w:t>2</w:t>
            </w:r>
          </w:p>
        </w:tc>
        <w:tc>
          <w:tcPr>
            <w:tcW w:w="3115" w:type="dxa"/>
          </w:tcPr>
          <w:p>
            <w:pPr>
              <w:pStyle w:val="12"/>
              <w:jc w:val="left"/>
            </w:pPr>
            <w:r>
              <w:t>情形2</w:t>
            </w:r>
          </w:p>
        </w:tc>
        <w:tc>
          <w:tcPr>
            <w:tcW w:w="4153" w:type="dxa"/>
          </w:tcPr>
          <w:p>
            <w:pPr>
              <w:pStyle w:val="12"/>
              <w:jc w:val="left"/>
            </w:pPr>
            <w:r>
              <w:t>属于招标文件第三章第10.12条规定的投标无效情形；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12"/>
              <w:jc w:val="left"/>
            </w:pPr>
            <w:r>
              <w:t>3</w:t>
            </w:r>
          </w:p>
        </w:tc>
        <w:tc>
          <w:tcPr>
            <w:tcW w:w="3115" w:type="dxa"/>
          </w:tcPr>
          <w:p>
            <w:pPr>
              <w:pStyle w:val="12"/>
              <w:jc w:val="left"/>
            </w:pPr>
            <w:r>
              <w:t>情形3</w:t>
            </w:r>
          </w:p>
        </w:tc>
        <w:tc>
          <w:tcPr>
            <w:tcW w:w="4153" w:type="dxa"/>
          </w:tcPr>
          <w:p>
            <w:pPr>
              <w:pStyle w:val="12"/>
              <w:jc w:val="left"/>
            </w:pPr>
            <w:r>
              <w:t>投标文件对招标文件实质性要求的响应存在重大偏离或保留。</w:t>
            </w:r>
          </w:p>
        </w:tc>
      </w:tr>
    </w:tbl>
    <w:p>
      <w:pPr>
        <w:pStyle w:val="12"/>
        <w:ind w:firstLine="480"/>
        <w:jc w:val="both"/>
      </w:pPr>
      <w:r>
        <w:rPr>
          <w:b/>
        </w:rPr>
        <w:t>②本项目规定的其他情形：</w:t>
      </w:r>
    </w:p>
    <w:p>
      <w:pPr>
        <w:pStyle w:val="12"/>
        <w:jc w:val="left"/>
      </w:pPr>
    </w:p>
    <w:p>
      <w:pPr>
        <w:pStyle w:val="12"/>
        <w:jc w:val="left"/>
      </w:pPr>
    </w:p>
    <w:p>
      <w:pPr>
        <w:pStyle w:val="12"/>
        <w:jc w:val="left"/>
      </w:pPr>
    </w:p>
    <w:p>
      <w:pPr>
        <w:pStyle w:val="12"/>
        <w:jc w:val="left"/>
      </w:pPr>
      <w:r>
        <w:t>采购包1：</w:t>
      </w:r>
    </w:p>
    <w:p>
      <w:pPr>
        <w:pStyle w:val="12"/>
        <w:jc w:val="left"/>
      </w:pPr>
      <w:r>
        <w:t>技术符合性</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12"/>
              <w:jc w:val="left"/>
            </w:pPr>
            <w:r>
              <w:t>情形</w:t>
            </w:r>
          </w:p>
        </w:tc>
        <w:tc>
          <w:tcPr>
            <w:tcW w:w="4153" w:type="dxa"/>
          </w:tcPr>
          <w:p>
            <w:pPr>
              <w:pStyle w:val="12"/>
              <w:jc w:val="left"/>
            </w:pPr>
            <w: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12"/>
              <w:jc w:val="left"/>
            </w:pPr>
            <w:r>
              <w:t>其他情形</w:t>
            </w:r>
          </w:p>
        </w:tc>
        <w:tc>
          <w:tcPr>
            <w:tcW w:w="4153" w:type="dxa"/>
          </w:tcPr>
          <w:p>
            <w:pPr>
              <w:pStyle w:val="12"/>
              <w:jc w:val="left"/>
            </w:pPr>
            <w:r>
              <w:t>1、技术部分的实际得分低于技术部分总分50%的按无效投标处理。 2、投标文件的技术部分中出现报价部分的全部或部分的投标报价信息（或组成资料），按无效投标处理。 3、不符合招标文件中规定的其它实质性要求的条款，按无效投标处理。</w:t>
            </w:r>
          </w:p>
        </w:tc>
      </w:tr>
    </w:tbl>
    <w:p>
      <w:pPr>
        <w:pStyle w:val="12"/>
        <w:jc w:val="left"/>
      </w:pPr>
      <w:r>
        <w:t>商务符合性</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12"/>
              <w:jc w:val="left"/>
            </w:pPr>
            <w:r>
              <w:t>情形</w:t>
            </w:r>
          </w:p>
        </w:tc>
        <w:tc>
          <w:tcPr>
            <w:tcW w:w="4153" w:type="dxa"/>
          </w:tcPr>
          <w:p>
            <w:pPr>
              <w:pStyle w:val="12"/>
              <w:jc w:val="left"/>
            </w:pPr>
            <w: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12"/>
              <w:jc w:val="left"/>
            </w:pPr>
            <w:r>
              <w:t>其他情形</w:t>
            </w:r>
          </w:p>
        </w:tc>
        <w:tc>
          <w:tcPr>
            <w:tcW w:w="4153" w:type="dxa"/>
          </w:tcPr>
          <w:p>
            <w:pPr>
              <w:pStyle w:val="12"/>
              <w:jc w:val="left"/>
            </w:pPr>
            <w:r>
              <w:t>1、投标人未在投标文件中完全响应招标文件第五章招标内容及要求中 “三、商务条件”全部内容的，按无效投标处理。 2、投标文件的商务部分中出现报价部分的全部或部分的投标报价信息（或组成资料），按无效投标处理。 3、不符合招标文件中规定的其它实质性要求的条款，按无效投标处理。</w:t>
            </w:r>
          </w:p>
        </w:tc>
      </w:tr>
    </w:tbl>
    <w:p>
      <w:pPr>
        <w:pStyle w:val="12"/>
        <w:jc w:val="left"/>
      </w:pPr>
      <w:r>
        <w:t>附加符合性：无</w:t>
      </w:r>
    </w:p>
    <w:p>
      <w:pPr>
        <w:pStyle w:val="12"/>
        <w:jc w:val="left"/>
      </w:pPr>
      <w:r>
        <w:t>价格符合性：无</w:t>
      </w:r>
    </w:p>
    <w:p>
      <w:pPr>
        <w:pStyle w:val="12"/>
        <w:ind w:firstLine="480"/>
        <w:jc w:val="both"/>
      </w:pPr>
      <w:r>
        <w:rPr>
          <w:b/>
        </w:rPr>
        <w:t>6.3澄清有关问题</w:t>
      </w:r>
    </w:p>
    <w:p>
      <w:pPr>
        <w:pStyle w:val="12"/>
        <w:ind w:firstLine="480"/>
        <w:jc w:val="both"/>
      </w:pPr>
      <w:r>
        <w:rPr>
          <w:b/>
        </w:rPr>
        <w:t>（1）对通过符合性审查的电子投标文件中含义不明确、同类问题表述不一致或有明显文字和计算错误的内容，评标委员会将以书面形式要求投标人作出必要的澄清、说明或补正。</w:t>
      </w:r>
    </w:p>
    <w:p>
      <w:pPr>
        <w:pStyle w:val="12"/>
        <w:ind w:firstLine="480"/>
        <w:jc w:val="both"/>
      </w:pPr>
      <w:r>
        <w:rPr>
          <w:b/>
        </w:rPr>
        <w:t>（2）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pPr>
        <w:pStyle w:val="12"/>
        <w:ind w:firstLine="480"/>
        <w:jc w:val="both"/>
      </w:pPr>
      <w:r>
        <w:rPr>
          <w:b/>
        </w:rPr>
        <w:t>（3）电子投标文件报价出现前后不一致的，除招标文件另有规定外，按照下列规定修正：</w:t>
      </w:r>
    </w:p>
    <w:p>
      <w:pPr>
        <w:pStyle w:val="12"/>
        <w:ind w:firstLine="480"/>
        <w:jc w:val="both"/>
      </w:pPr>
      <w:r>
        <w:rPr>
          <w:b/>
        </w:rPr>
        <w:t>①开标一览表内容与电子投标文件中相应内容不一致的，以开标一览表为准；</w:t>
      </w:r>
    </w:p>
    <w:p>
      <w:pPr>
        <w:pStyle w:val="12"/>
        <w:ind w:firstLine="480"/>
        <w:jc w:val="both"/>
      </w:pPr>
      <w:r>
        <w:rPr>
          <w:b/>
        </w:rPr>
        <w:t>②大写金额和小写金额不一致的，以大写金额为准；</w:t>
      </w:r>
    </w:p>
    <w:p>
      <w:pPr>
        <w:pStyle w:val="12"/>
        <w:ind w:firstLine="480"/>
        <w:jc w:val="both"/>
      </w:pPr>
      <w:r>
        <w:rPr>
          <w:b/>
        </w:rPr>
        <w:t>③单价金额小数点或百分比有明显错位的，以开标一览表的总价为准，并修改单价；</w:t>
      </w:r>
    </w:p>
    <w:p>
      <w:pPr>
        <w:pStyle w:val="12"/>
        <w:ind w:firstLine="480"/>
        <w:jc w:val="both"/>
      </w:pPr>
      <w:r>
        <w:rPr>
          <w:b/>
        </w:rPr>
        <w:t>④总价金额与按照单价汇总金额不一致的，以单价金额计算结果为准。</w:t>
      </w:r>
    </w:p>
    <w:p>
      <w:pPr>
        <w:pStyle w:val="12"/>
        <w:ind w:firstLine="480"/>
        <w:jc w:val="both"/>
      </w:pPr>
      <w:r>
        <w:rPr>
          <w:b/>
        </w:rPr>
        <w:t>※同时出现两种以上不一致的，按照前款规定的顺序修正。修正后的报价应按照本章第6.3条第（1）、（2）款规定经投标人确认后产生约束力，投标人不确认的，其投标无效。</w:t>
      </w:r>
    </w:p>
    <w:p>
      <w:pPr>
        <w:pStyle w:val="12"/>
        <w:ind w:firstLine="480"/>
        <w:jc w:val="both"/>
      </w:pPr>
      <w:r>
        <w:rPr>
          <w:b/>
        </w:rPr>
        <w:t>（4）关于细微偏差</w:t>
      </w:r>
    </w:p>
    <w:p>
      <w:pPr>
        <w:pStyle w:val="12"/>
        <w:ind w:firstLine="480"/>
        <w:jc w:val="both"/>
      </w:pPr>
      <w:r>
        <w:rPr>
          <w:b/>
        </w:rPr>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pPr>
        <w:pStyle w:val="12"/>
        <w:ind w:firstLine="480"/>
        <w:jc w:val="both"/>
      </w:pPr>
      <w:r>
        <w:rPr>
          <w:b/>
        </w:rPr>
        <w:t>②评标委员会将以书面形式要求存在细微偏差的投标人在评标委员会规定的时间内予以补正。若无法补正，则评标委员会将按照不利于投标人的内容进行认定。</w:t>
      </w:r>
    </w:p>
    <w:p>
      <w:pPr>
        <w:pStyle w:val="12"/>
        <w:ind w:firstLine="480"/>
        <w:jc w:val="both"/>
      </w:pPr>
      <w:r>
        <w:rPr>
          <w:b/>
        </w:rPr>
        <w:t>（5）关于投标描述（即电子投标文件中描述的内容）</w:t>
      </w:r>
    </w:p>
    <w:p>
      <w:pPr>
        <w:pStyle w:val="12"/>
        <w:ind w:firstLine="480"/>
        <w:jc w:val="both"/>
      </w:pPr>
      <w:r>
        <w:rPr>
          <w:b/>
        </w:rPr>
        <w:t>①投标描述前后不一致且不涉及证明材料的：按照本章第6.3条第（1）、（2）款规定执行。</w:t>
      </w:r>
    </w:p>
    <w:p>
      <w:pPr>
        <w:pStyle w:val="12"/>
        <w:ind w:firstLine="480"/>
        <w:jc w:val="both"/>
      </w:pPr>
      <w:r>
        <w:rPr>
          <w:b/>
        </w:rPr>
        <w:t>②投标描述与证明材料不一致或多份证明材料之间不一致的：</w:t>
      </w:r>
    </w:p>
    <w:p>
      <w:pPr>
        <w:pStyle w:val="12"/>
        <w:ind w:firstLine="480"/>
        <w:jc w:val="both"/>
      </w:pPr>
      <w:r>
        <w:rPr>
          <w:b/>
        </w:rPr>
        <w:t>a.评标委员会将要求投标人进行书面澄清，并按照不利于投标人的内容进行评标。</w:t>
      </w:r>
    </w:p>
    <w:p>
      <w:pPr>
        <w:pStyle w:val="12"/>
        <w:ind w:firstLine="480"/>
        <w:jc w:val="both"/>
      </w:pPr>
      <w:r>
        <w:rPr>
          <w:b/>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12"/>
        <w:ind w:firstLine="480"/>
        <w:jc w:val="both"/>
      </w:pPr>
      <w:r>
        <w:rPr>
          <w:b/>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12"/>
        <w:ind w:firstLine="480"/>
        <w:jc w:val="both"/>
      </w:pPr>
      <w:r>
        <w:rPr>
          <w:b/>
        </w:rPr>
        <w:t>6.4比较与评价</w:t>
      </w:r>
    </w:p>
    <w:p>
      <w:pPr>
        <w:pStyle w:val="12"/>
        <w:ind w:firstLine="480"/>
        <w:jc w:val="both"/>
      </w:pPr>
      <w:r>
        <w:rPr>
          <w:b/>
        </w:rPr>
        <w:t>（1）按照本章第7条载明的评标方法和标准，对符合性审查合格的电子投标文件进行比较与评价。</w:t>
      </w:r>
    </w:p>
    <w:p>
      <w:pPr>
        <w:pStyle w:val="12"/>
        <w:ind w:firstLine="480"/>
        <w:jc w:val="both"/>
      </w:pPr>
      <w:r>
        <w:rPr>
          <w:b/>
        </w:rPr>
        <w:t>（2）关于相同品牌产品（政府采购服务类项目不适用本条款规定）</w:t>
      </w:r>
    </w:p>
    <w:p>
      <w:pPr>
        <w:pStyle w:val="12"/>
        <w:ind w:firstLine="480"/>
        <w:jc w:val="both"/>
      </w:pPr>
      <w:r>
        <w:rPr>
          <w:b/>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pPr>
        <w:pStyle w:val="12"/>
        <w:ind w:firstLine="480"/>
        <w:jc w:val="both"/>
      </w:pPr>
      <w:r>
        <w:rPr>
          <w:b/>
        </w:rPr>
        <w:t>a.招标文件规定的方式：</w:t>
      </w:r>
    </w:p>
    <w:p>
      <w:pPr>
        <w:pStyle w:val="12"/>
        <w:ind w:firstLine="480"/>
        <w:jc w:val="both"/>
      </w:pPr>
    </w:p>
    <w:p>
      <w:pPr>
        <w:pStyle w:val="12"/>
        <w:jc w:val="both"/>
      </w:pPr>
      <w:r>
        <w:rPr>
          <w:b/>
        </w:rPr>
        <w:t>无</w:t>
      </w:r>
    </w:p>
    <w:p>
      <w:pPr>
        <w:pStyle w:val="12"/>
        <w:ind w:firstLine="480"/>
        <w:jc w:val="both"/>
      </w:pPr>
      <w:r>
        <w:rPr>
          <w:b/>
        </w:rPr>
        <w:t>b.招标文件未规定的，采取随机抽取方式确定，其他投标无效。</w:t>
      </w:r>
    </w:p>
    <w:p>
      <w:pPr>
        <w:pStyle w:val="12"/>
        <w:ind w:firstLine="480"/>
        <w:jc w:val="both"/>
      </w:pPr>
      <w:r>
        <w:rPr>
          <w:b/>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12"/>
        <w:ind w:firstLine="480"/>
        <w:jc w:val="both"/>
      </w:pPr>
      <w:r>
        <w:rPr>
          <w:b/>
        </w:rPr>
        <w:t>a.招标文件规定的方式：</w:t>
      </w:r>
    </w:p>
    <w:p>
      <w:pPr>
        <w:pStyle w:val="12"/>
        <w:ind w:firstLine="480"/>
        <w:jc w:val="both"/>
      </w:pPr>
    </w:p>
    <w:p>
      <w:pPr>
        <w:pStyle w:val="12"/>
        <w:jc w:val="both"/>
      </w:pPr>
      <w:r>
        <w:rPr>
          <w:b/>
        </w:rPr>
        <w:t>无</w:t>
      </w:r>
    </w:p>
    <w:p>
      <w:pPr>
        <w:pStyle w:val="12"/>
        <w:ind w:firstLine="480"/>
        <w:jc w:val="both"/>
      </w:pPr>
      <w:r>
        <w:rPr>
          <w:b/>
        </w:rPr>
        <w:t>b.招标文件未规定的，采取随机抽取方式确定，其他同品牌投标人不作为中标候选人。</w:t>
      </w:r>
    </w:p>
    <w:p>
      <w:pPr>
        <w:pStyle w:val="12"/>
        <w:ind w:firstLine="480"/>
        <w:jc w:val="both"/>
      </w:pPr>
      <w:r>
        <w:rPr>
          <w:b/>
        </w:rPr>
        <w:t>③非单一产品采购项目，多家投标人提供的核心产品品牌相同的，按照本章第6.4条第（2）款第①、②规定处理。</w:t>
      </w:r>
    </w:p>
    <w:p>
      <w:pPr>
        <w:pStyle w:val="12"/>
        <w:ind w:firstLine="480"/>
        <w:jc w:val="both"/>
      </w:pPr>
      <w:r>
        <w:rPr>
          <w:b/>
        </w:rPr>
        <w:t>（3）漏（缺）项</w:t>
      </w:r>
    </w:p>
    <w:p>
      <w:pPr>
        <w:pStyle w:val="12"/>
        <w:ind w:firstLine="480"/>
        <w:jc w:val="both"/>
      </w:pPr>
      <w:r>
        <w:rPr>
          <w:b/>
        </w:rPr>
        <w:t>①招标文件中要求列入报价的费用（含配置、功能），漏（缺）项的报价视为已经包括在投标总价中。</w:t>
      </w:r>
    </w:p>
    <w:p>
      <w:pPr>
        <w:pStyle w:val="12"/>
        <w:ind w:firstLine="480"/>
        <w:jc w:val="both"/>
      </w:pPr>
      <w:r>
        <w:rPr>
          <w:b/>
        </w:rPr>
        <w:t>②对多报项及赠送项的价格评标时不予核减，全部进入评标价评议。</w:t>
      </w:r>
    </w:p>
    <w:p>
      <w:pPr>
        <w:pStyle w:val="12"/>
        <w:ind w:firstLine="480"/>
        <w:jc w:val="both"/>
      </w:pPr>
      <w:r>
        <w:rPr>
          <w:b/>
        </w:rPr>
        <w:t>6.5推荐中标候选人：详见本章第7.2条规定。</w:t>
      </w:r>
    </w:p>
    <w:p>
      <w:pPr>
        <w:pStyle w:val="12"/>
        <w:ind w:firstLine="480"/>
        <w:jc w:val="both"/>
      </w:pPr>
      <w:r>
        <w:rPr>
          <w:b/>
        </w:rPr>
        <w:t>6.6编写评标报告</w:t>
      </w:r>
    </w:p>
    <w:p>
      <w:pPr>
        <w:pStyle w:val="12"/>
        <w:ind w:firstLine="480"/>
        <w:jc w:val="both"/>
      </w:pPr>
      <w:r>
        <w:rPr>
          <w:b/>
        </w:rPr>
        <w:t>（1）评标报告由评标委员会负责编写。</w:t>
      </w:r>
    </w:p>
    <w:p>
      <w:pPr>
        <w:pStyle w:val="12"/>
        <w:ind w:firstLine="480"/>
        <w:jc w:val="both"/>
      </w:pPr>
      <w:r>
        <w:rPr>
          <w:b/>
        </w:rPr>
        <w:t>（2）评标报告应包括下列内容：</w:t>
      </w:r>
    </w:p>
    <w:p>
      <w:pPr>
        <w:pStyle w:val="12"/>
        <w:ind w:firstLine="480"/>
        <w:jc w:val="both"/>
      </w:pPr>
      <w:r>
        <w:rPr>
          <w:b/>
        </w:rPr>
        <w:t>①招标公告刊登的媒体名称、开标日期和地点；</w:t>
      </w:r>
    </w:p>
    <w:p>
      <w:pPr>
        <w:pStyle w:val="12"/>
        <w:ind w:firstLine="480"/>
        <w:jc w:val="both"/>
      </w:pPr>
      <w:r>
        <w:rPr>
          <w:b/>
        </w:rPr>
        <w:t>②投标人名单和评标委员会成员名单；</w:t>
      </w:r>
    </w:p>
    <w:p>
      <w:pPr>
        <w:pStyle w:val="12"/>
        <w:ind w:firstLine="480"/>
        <w:jc w:val="both"/>
      </w:pPr>
      <w:r>
        <w:rPr>
          <w:b/>
        </w:rPr>
        <w:t>③评标方法和标准；</w:t>
      </w:r>
    </w:p>
    <w:p>
      <w:pPr>
        <w:pStyle w:val="12"/>
        <w:ind w:firstLine="480"/>
        <w:jc w:val="both"/>
      </w:pPr>
      <w:r>
        <w:rPr>
          <w:b/>
        </w:rPr>
        <w:t>④开标记录和评标情况及说明，包括无效投标人名单及原因；</w:t>
      </w:r>
    </w:p>
    <w:p>
      <w:pPr>
        <w:pStyle w:val="12"/>
        <w:ind w:firstLine="480"/>
        <w:jc w:val="both"/>
      </w:pPr>
      <w:r>
        <w:rPr>
          <w:b/>
        </w:rPr>
        <w:t>⑤评标结果，包括中标候选人名单或确定的中标人；</w:t>
      </w:r>
    </w:p>
    <w:p>
      <w:pPr>
        <w:pStyle w:val="12"/>
        <w:ind w:firstLine="480"/>
        <w:jc w:val="both"/>
      </w:pPr>
      <w:r>
        <w:rPr>
          <w:b/>
        </w:rPr>
        <w:t>⑥其他需要说明的情况，包括但不限于：评标过程中投标人的澄清、说明或补正，评委更换等。</w:t>
      </w:r>
    </w:p>
    <w:p>
      <w:pPr>
        <w:pStyle w:val="12"/>
        <w:ind w:firstLine="480"/>
        <w:jc w:val="both"/>
      </w:pPr>
      <w:r>
        <w:rPr>
          <w:b/>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pPr>
        <w:pStyle w:val="12"/>
        <w:ind w:firstLine="480"/>
        <w:jc w:val="both"/>
      </w:pPr>
      <w:r>
        <w:rPr>
          <w:b/>
        </w:rPr>
        <w:t>6.8评委对需要共同认定的事项存在争议的，应按照少数服从多数的原则进行认定。持不同意见的评委应在评标报告上签署不同意见及理由，否则视为同意评标报告。</w:t>
      </w:r>
    </w:p>
    <w:p>
      <w:pPr>
        <w:pStyle w:val="12"/>
        <w:ind w:firstLine="480"/>
        <w:jc w:val="both"/>
      </w:pPr>
      <w:r>
        <w:rPr>
          <w:b/>
        </w:rPr>
        <w:t>6.9在评标过程中发现投标人有下列情形之一的，评标委员会应认定其投标无效，并书面报告本项目监督管理部门：</w:t>
      </w:r>
    </w:p>
    <w:p>
      <w:pPr>
        <w:pStyle w:val="12"/>
        <w:ind w:firstLine="480"/>
        <w:jc w:val="both"/>
      </w:pPr>
      <w:r>
        <w:rPr>
          <w:b/>
        </w:rPr>
        <w:t>（1）恶意串通（包括但不限于招标文件第三章第9.7条规定情形）；</w:t>
      </w:r>
    </w:p>
    <w:p>
      <w:pPr>
        <w:pStyle w:val="12"/>
        <w:ind w:firstLine="480"/>
        <w:jc w:val="both"/>
      </w:pPr>
      <w:r>
        <w:rPr>
          <w:b/>
        </w:rPr>
        <w:t>（2）妨碍其他投标人的竞争行为；</w:t>
      </w:r>
    </w:p>
    <w:p>
      <w:pPr>
        <w:pStyle w:val="12"/>
        <w:ind w:firstLine="480"/>
        <w:jc w:val="both"/>
      </w:pPr>
      <w:r>
        <w:rPr>
          <w:b/>
        </w:rPr>
        <w:t>（3）损害采购人或其他投标人的合法权益。</w:t>
      </w:r>
    </w:p>
    <w:p>
      <w:pPr>
        <w:pStyle w:val="12"/>
        <w:ind w:firstLine="480"/>
        <w:jc w:val="both"/>
      </w:pPr>
      <w:r>
        <w:rPr>
          <w:b/>
        </w:rPr>
        <w:t>6.10评标过程中，有下列情形之一的，应予废标：</w:t>
      </w:r>
    </w:p>
    <w:p>
      <w:pPr>
        <w:pStyle w:val="12"/>
        <w:ind w:firstLine="480"/>
        <w:jc w:val="both"/>
      </w:pPr>
      <w:r>
        <w:rPr>
          <w:b/>
        </w:rPr>
        <w:t>（1）符合性审查合格的投标人不足三家的；</w:t>
      </w:r>
    </w:p>
    <w:p>
      <w:pPr>
        <w:pStyle w:val="12"/>
        <w:ind w:firstLine="480"/>
        <w:jc w:val="both"/>
      </w:pPr>
      <w:r>
        <w:rPr>
          <w:b/>
        </w:rPr>
        <w:t>（2）有关法律、法规和规章规定废标的情形。</w:t>
      </w:r>
    </w:p>
    <w:p>
      <w:pPr>
        <w:pStyle w:val="12"/>
        <w:ind w:firstLine="480"/>
        <w:jc w:val="both"/>
      </w:pPr>
      <w:r>
        <w:rPr>
          <w:b/>
        </w:rPr>
        <w:t>※若废标，则本次采购活动结束，</w:t>
      </w:r>
      <w:r>
        <w:rPr>
          <w:rFonts w:hint="eastAsia"/>
          <w:b/>
          <w:lang w:eastAsia="zh-CN"/>
        </w:rPr>
        <w:t>福建中恒达建设项目管理有限公司</w:t>
      </w:r>
      <w:r>
        <w:rPr>
          <w:b/>
        </w:rPr>
        <w:t>将依法组织后续采购活动（包括但不限于：重新招标、采用其他方式采购等）。</w:t>
      </w:r>
    </w:p>
    <w:p>
      <w:pPr>
        <w:pStyle w:val="12"/>
        <w:ind w:firstLine="480"/>
        <w:jc w:val="both"/>
      </w:pPr>
      <w:r>
        <w:rPr>
          <w:b/>
        </w:rPr>
        <w:t>7、评标方法和标准</w:t>
      </w:r>
    </w:p>
    <w:p>
      <w:pPr>
        <w:pStyle w:val="12"/>
        <w:ind w:firstLine="480"/>
        <w:jc w:val="both"/>
      </w:pPr>
      <w:r>
        <w:rPr>
          <w:b/>
        </w:rPr>
        <w:t>7.1评标方法：</w:t>
      </w:r>
    </w:p>
    <w:p>
      <w:pPr>
        <w:pStyle w:val="12"/>
        <w:ind w:firstLine="480"/>
        <w:jc w:val="both"/>
      </w:pPr>
    </w:p>
    <w:p>
      <w:pPr>
        <w:pStyle w:val="12"/>
        <w:jc w:val="both"/>
      </w:pPr>
    </w:p>
    <w:p>
      <w:pPr>
        <w:pStyle w:val="12"/>
        <w:jc w:val="both"/>
      </w:pPr>
      <w:r>
        <w:rPr>
          <w:b/>
        </w:rPr>
        <w:t>采购包1：综合评分法</w:t>
      </w:r>
    </w:p>
    <w:p>
      <w:pPr>
        <w:pStyle w:val="12"/>
        <w:ind w:firstLine="480"/>
        <w:jc w:val="both"/>
      </w:pPr>
      <w:r>
        <w:rPr>
          <w:b/>
        </w:rPr>
        <w:t>7.2评标标准</w:t>
      </w:r>
    </w:p>
    <w:p>
      <w:pPr>
        <w:pStyle w:val="12"/>
        <w:ind w:firstLine="480"/>
        <w:jc w:val="both"/>
      </w:pPr>
    </w:p>
    <w:p>
      <w:pPr>
        <w:pStyle w:val="12"/>
        <w:jc w:val="both"/>
      </w:pPr>
    </w:p>
    <w:p>
      <w:pPr>
        <w:pStyle w:val="12"/>
        <w:jc w:val="both"/>
      </w:pPr>
    </w:p>
    <w:p>
      <w:pPr>
        <w:pStyle w:val="12"/>
        <w:jc w:val="both"/>
      </w:pPr>
      <w:r>
        <w:rPr>
          <w:b/>
        </w:rPr>
        <w:t>采购包1：综合评分法</w:t>
      </w:r>
    </w:p>
    <w:p>
      <w:pPr>
        <w:pStyle w:val="12"/>
        <w:jc w:val="both"/>
      </w:pPr>
      <w:r>
        <w:rPr>
          <w:b/>
        </w:rPr>
        <w:t>（1）投标文件满足招标文件全部实质性要求，且按照评审因素的量化指标评审得分（即评标总得分）最高的投标人为中标候选人。</w:t>
      </w:r>
    </w:p>
    <w:p>
      <w:pPr>
        <w:pStyle w:val="12"/>
        <w:jc w:val="both"/>
      </w:pPr>
      <w:r>
        <w:rPr>
          <w:b/>
        </w:rPr>
        <w:t>（2）每个投标人的评标总得分FA＝F1×A1＋F2×A2＋F3×A3＋F4×A4（若有），其中：F1指价格项评审因素得分、F2指技术项评审因素得分、F3指商务项评审因素得分，A1指价格项评审因素所占的权重、A2指技术项评审因素所占的权重、A3指商务项评审因素所占的权重，A1+A2+A3=1、F1×A1＋F2×A2＋F3×A3=100分（满分时），F4×A4为加分项（即优先类节能产品、环境标志产品在采购活动中可享有的加分优惠）。</w:t>
      </w:r>
    </w:p>
    <w:p>
      <w:pPr>
        <w:pStyle w:val="12"/>
        <w:jc w:val="both"/>
      </w:pPr>
      <w:r>
        <w:rPr>
          <w:b/>
        </w:rPr>
        <w:t>各项评审因素的设置如下：</w:t>
      </w:r>
    </w:p>
    <w:p>
      <w:pPr>
        <w:pStyle w:val="12"/>
        <w:jc w:val="both"/>
      </w:pPr>
      <w:r>
        <w:rPr>
          <w:b/>
        </w:rPr>
        <w:t>价格项（F1×A1）满分为30.00分</w:t>
      </w:r>
    </w:p>
    <w:p>
      <w:pPr>
        <w:pStyle w:val="12"/>
        <w:jc w:val="both"/>
      </w:pPr>
      <w:r>
        <w:rPr>
          <w:b/>
        </w:rPr>
        <w:t>价格分采用低价优先法计算，即满足招标文件要求且投标价格最低的投标报价为评标基准价，其价格分为满分。其他投标人的价格分统一按照下列公式计算：投标报价得分=（评标基准价／投标报价）×100。因落实政府采购政策需进行价格扣除的，以扣除后的价格计算评标基准价和投标报价。</w:t>
      </w:r>
    </w:p>
    <w:p>
      <w:pPr>
        <w:pStyle w:val="12"/>
        <w:jc w:val="both"/>
      </w:pPr>
      <w:r>
        <w:rPr>
          <w:b/>
        </w:rPr>
        <w:t>价格扣除的规则如下：</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831"/>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12"/>
              <w:jc w:val="both"/>
            </w:pPr>
            <w:r>
              <w:rPr>
                <w:b/>
              </w:rPr>
              <w:t>项目</w:t>
            </w:r>
          </w:p>
        </w:tc>
        <w:tc>
          <w:tcPr>
            <w:tcW w:w="1661" w:type="dxa"/>
          </w:tcPr>
          <w:p>
            <w:pPr>
              <w:pStyle w:val="12"/>
              <w:jc w:val="both"/>
            </w:pPr>
            <w:r>
              <w:rPr>
                <w:b/>
              </w:rPr>
              <w:t>适用对象</w:t>
            </w:r>
          </w:p>
        </w:tc>
        <w:tc>
          <w:tcPr>
            <w:tcW w:w="831" w:type="dxa"/>
          </w:tcPr>
          <w:p>
            <w:pPr>
              <w:pStyle w:val="12"/>
              <w:jc w:val="both"/>
            </w:pPr>
            <w:r>
              <w:rPr>
                <w:b/>
              </w:rPr>
              <w:t>比例</w:t>
            </w:r>
          </w:p>
        </w:tc>
        <w:tc>
          <w:tcPr>
            <w:tcW w:w="4153" w:type="dxa"/>
          </w:tcPr>
          <w:p>
            <w:pPr>
              <w:pStyle w:val="12"/>
              <w:jc w:val="both"/>
            </w:pPr>
            <w:r>
              <w:rPr>
                <w:b/>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12"/>
              <w:jc w:val="both"/>
            </w:pPr>
            <w:r>
              <w:rPr>
                <w:b/>
              </w:rPr>
              <w:t>小型、微型企业，监狱企业，残疾人福利性单位</w:t>
            </w:r>
          </w:p>
        </w:tc>
        <w:tc>
          <w:tcPr>
            <w:tcW w:w="1661" w:type="dxa"/>
          </w:tcPr>
          <w:p>
            <w:pPr>
              <w:pStyle w:val="12"/>
              <w:jc w:val="both"/>
            </w:pPr>
            <w:r>
              <w:rPr>
                <w:b/>
              </w:rPr>
              <w:t>投标人或者联合体均为小型、微型企业</w:t>
            </w:r>
          </w:p>
        </w:tc>
        <w:tc>
          <w:tcPr>
            <w:tcW w:w="831" w:type="dxa"/>
          </w:tcPr>
          <w:p>
            <w:pPr>
              <w:pStyle w:val="12"/>
              <w:jc w:val="right"/>
            </w:pPr>
            <w:r>
              <w:rPr>
                <w:b/>
              </w:rPr>
              <w:t>15.00%</w:t>
            </w:r>
          </w:p>
        </w:tc>
        <w:tc>
          <w:tcPr>
            <w:tcW w:w="4153" w:type="dxa"/>
          </w:tcPr>
          <w:p>
            <w:pPr>
              <w:pStyle w:val="12"/>
              <w:jc w:val="both"/>
            </w:pPr>
            <w:r>
              <w:rPr>
                <w:b/>
              </w:rPr>
              <w:t>1、对小、微企业报价给予15%（工程项目为 3%）的扣除。 2、联合协议或分包意向协议约定小微企业的合同份额占到合同总金额 30%以上的，对联合体或者大中型企业的报价给予5%（工程项目为 1%）的扣除。 3、监狱企业视同上述中小企业享受政府采购扶持政策。 4、残疾人福利性单位提供本单位制造的货物、承担的工程或服务，或提供其他残疾人福利性单位制造的货物（不包括使用非残疾人福利性单位注册商标的货物），视同小微企业，按小微企业的扣除比例执行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12"/>
              <w:jc w:val="both"/>
              <w:rPr>
                <w:b/>
              </w:rPr>
            </w:pPr>
          </w:p>
        </w:tc>
        <w:tc>
          <w:tcPr>
            <w:tcW w:w="1661" w:type="dxa"/>
          </w:tcPr>
          <w:p>
            <w:pPr>
              <w:pStyle w:val="12"/>
              <w:jc w:val="both"/>
              <w:rPr>
                <w:b/>
              </w:rPr>
            </w:pPr>
          </w:p>
        </w:tc>
        <w:tc>
          <w:tcPr>
            <w:tcW w:w="831" w:type="dxa"/>
          </w:tcPr>
          <w:p>
            <w:pPr>
              <w:pStyle w:val="12"/>
              <w:jc w:val="right"/>
              <w:rPr>
                <w:b/>
              </w:rPr>
            </w:pPr>
          </w:p>
        </w:tc>
        <w:tc>
          <w:tcPr>
            <w:tcW w:w="4153" w:type="dxa"/>
          </w:tcPr>
          <w:p>
            <w:pPr>
              <w:pStyle w:val="12"/>
              <w:jc w:val="both"/>
              <w:rPr>
                <w:b/>
              </w:rPr>
            </w:pPr>
          </w:p>
        </w:tc>
      </w:tr>
    </w:tbl>
    <w:p>
      <w:pPr>
        <w:pStyle w:val="12"/>
        <w:jc w:val="both"/>
      </w:pPr>
      <w:r>
        <w:rPr>
          <w:b/>
        </w:rPr>
        <w:t>其他：无</w:t>
      </w:r>
    </w:p>
    <w:p>
      <w:pPr>
        <w:pStyle w:val="12"/>
        <w:jc w:val="both"/>
      </w:pPr>
      <w:r>
        <w:rPr>
          <w:b/>
        </w:rPr>
        <w:t>技术项（F2×A2）满分为5</w:t>
      </w:r>
      <w:r>
        <w:rPr>
          <w:rFonts w:hint="eastAsia"/>
          <w:b/>
          <w:lang w:val="en-US" w:eastAsia="zh-CN"/>
        </w:rPr>
        <w:t>5</w:t>
      </w:r>
      <w:r>
        <w:rPr>
          <w:b/>
        </w:rPr>
        <w:t>.00分</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18"/>
        <w:gridCol w:w="981"/>
        <w:gridCol w:w="530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18" w:type="dxa"/>
          </w:tcPr>
          <w:p>
            <w:pPr>
              <w:pStyle w:val="12"/>
              <w:jc w:val="both"/>
            </w:pPr>
            <w:r>
              <w:rPr>
                <w:b/>
              </w:rPr>
              <w:t>项目</w:t>
            </w:r>
          </w:p>
        </w:tc>
        <w:tc>
          <w:tcPr>
            <w:tcW w:w="981" w:type="dxa"/>
          </w:tcPr>
          <w:p>
            <w:pPr>
              <w:pStyle w:val="12"/>
              <w:jc w:val="both"/>
            </w:pPr>
            <w:r>
              <w:rPr>
                <w:b/>
              </w:rPr>
              <w:t>分值</w:t>
            </w:r>
          </w:p>
        </w:tc>
        <w:tc>
          <w:tcPr>
            <w:tcW w:w="5307" w:type="dxa"/>
          </w:tcPr>
          <w:p>
            <w:pPr>
              <w:pStyle w:val="12"/>
              <w:jc w:val="both"/>
            </w:pPr>
            <w:r>
              <w:rPr>
                <w:b/>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18" w:type="dxa"/>
          </w:tcPr>
          <w:p>
            <w:pPr>
              <w:pStyle w:val="12"/>
              <w:jc w:val="both"/>
            </w:pPr>
            <w:r>
              <w:rPr>
                <w:rFonts w:hint="eastAsia"/>
                <w:b/>
              </w:rPr>
              <w:t>T</w:t>
            </w:r>
            <w:r>
              <w:rPr>
                <w:rFonts w:hint="eastAsia"/>
                <w:b/>
                <w:lang w:val="en-US" w:eastAsia="zh-CN"/>
              </w:rPr>
              <w:t>1</w:t>
            </w:r>
            <w:r>
              <w:rPr>
                <w:b/>
              </w:rPr>
              <w:t>响应情况</w:t>
            </w:r>
          </w:p>
        </w:tc>
        <w:tc>
          <w:tcPr>
            <w:tcW w:w="981" w:type="dxa"/>
          </w:tcPr>
          <w:p>
            <w:pPr>
              <w:pStyle w:val="12"/>
              <w:jc w:val="right"/>
            </w:pPr>
            <w:r>
              <w:rPr>
                <w:rFonts w:hint="eastAsia"/>
                <w:b/>
                <w:lang w:val="en-US" w:eastAsia="zh-CN"/>
              </w:rPr>
              <w:t>31</w:t>
            </w:r>
            <w:r>
              <w:rPr>
                <w:b/>
              </w:rPr>
              <w:t>.00</w:t>
            </w:r>
          </w:p>
        </w:tc>
        <w:tc>
          <w:tcPr>
            <w:tcW w:w="5307" w:type="dxa"/>
          </w:tcPr>
          <w:p>
            <w:pPr>
              <w:pStyle w:val="12"/>
              <w:jc w:val="both"/>
            </w:pPr>
            <w:r>
              <w:rPr>
                <w:b/>
              </w:rPr>
              <w:t>根</w:t>
            </w:r>
            <w:r>
              <w:rPr>
                <w:rFonts w:hint="eastAsia" w:asciiTheme="minorHAnsi" w:hAnsiTheme="minorHAnsi" w:eastAsiaTheme="minorEastAsia" w:cstheme="minorBidi"/>
                <w:b/>
                <w:kern w:val="0"/>
                <w:sz w:val="20"/>
                <w:szCs w:val="20"/>
                <w:lang w:val="en-US" w:eastAsia="zh-Hans" w:bidi="ar-SA"/>
              </w:rPr>
              <w:t>据投标人所投设备对招标文件《第五章招标内容及要求》的技术参数的响应情况，由评委进行评分,完全满足招标文件技术参数要求的得</w:t>
            </w:r>
            <w:r>
              <w:rPr>
                <w:rFonts w:hint="eastAsia" w:cstheme="minorBidi"/>
                <w:b/>
                <w:kern w:val="0"/>
                <w:sz w:val="20"/>
                <w:szCs w:val="20"/>
                <w:lang w:val="en-US" w:eastAsia="zh-CN" w:bidi="ar-SA"/>
              </w:rPr>
              <w:t>31</w:t>
            </w:r>
            <w:r>
              <w:rPr>
                <w:rFonts w:hint="eastAsia" w:asciiTheme="minorHAnsi" w:hAnsiTheme="minorHAnsi" w:eastAsiaTheme="minorEastAsia" w:cstheme="minorBidi"/>
                <w:b/>
                <w:kern w:val="0"/>
                <w:sz w:val="20"/>
                <w:szCs w:val="20"/>
                <w:lang w:val="en-US" w:eastAsia="zh-Hans" w:bidi="ar-SA"/>
              </w:rPr>
              <w:t>分；通用技术要求、技术参数要求中技术参数每负偏离一项扣</w:t>
            </w:r>
            <w:r>
              <w:rPr>
                <w:rFonts w:hint="eastAsia" w:cstheme="minorBidi"/>
                <w:b/>
                <w:kern w:val="0"/>
                <w:sz w:val="20"/>
                <w:szCs w:val="20"/>
                <w:lang w:val="en-US" w:eastAsia="zh-CN" w:bidi="ar-SA"/>
              </w:rPr>
              <w:t>0.86</w:t>
            </w:r>
            <w:r>
              <w:rPr>
                <w:rFonts w:hint="eastAsia" w:asciiTheme="minorHAnsi" w:hAnsiTheme="minorHAnsi" w:eastAsiaTheme="minorEastAsia" w:cstheme="minorBidi"/>
                <w:b/>
                <w:kern w:val="0"/>
                <w:sz w:val="20"/>
                <w:szCs w:val="20"/>
                <w:lang w:val="en-US" w:eastAsia="zh-Hans" w:bidi="ar-SA"/>
              </w:rPr>
              <w:t>分（共</w:t>
            </w:r>
            <w:r>
              <w:rPr>
                <w:rFonts w:hint="eastAsia" w:cstheme="minorBidi"/>
                <w:b/>
                <w:kern w:val="0"/>
                <w:sz w:val="20"/>
                <w:szCs w:val="20"/>
                <w:lang w:val="en-US" w:eastAsia="zh-CN" w:bidi="ar-SA"/>
              </w:rPr>
              <w:t>36</w:t>
            </w:r>
            <w:r>
              <w:rPr>
                <w:rFonts w:hint="eastAsia" w:asciiTheme="minorHAnsi" w:hAnsiTheme="minorHAnsi" w:eastAsiaTheme="minorEastAsia" w:cstheme="minorBidi"/>
                <w:b/>
                <w:kern w:val="0"/>
                <w:sz w:val="20"/>
                <w:szCs w:val="20"/>
                <w:lang w:val="en-US" w:eastAsia="zh-Hans" w:bidi="ar-SA"/>
              </w:rPr>
              <w:t>项），扣完为止，正偏离不加分。注：招标文件中技术指标若有要求投标人提供相应佐证材料的，投标人未提供相应佐证材料或者投标人的响应承诺与其佐证材料不一致的，评标委员会将以不利于投标人的内容为准进行评审（负偏离）；带★符号的要求不得出现负偏离，否则视为无效投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18" w:type="dxa"/>
            <w:vAlign w:val="center"/>
          </w:tcPr>
          <w:p>
            <w:pPr>
              <w:spacing w:line="360" w:lineRule="auto"/>
              <w:jc w:val="center"/>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T2.项目实施方案</w:t>
            </w:r>
          </w:p>
        </w:tc>
        <w:tc>
          <w:tcPr>
            <w:tcW w:w="981" w:type="dxa"/>
            <w:vAlign w:val="center"/>
          </w:tcPr>
          <w:p>
            <w:pPr>
              <w:spacing w:line="360" w:lineRule="auto"/>
              <w:jc w:val="center"/>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3</w:t>
            </w:r>
          </w:p>
        </w:tc>
        <w:tc>
          <w:tcPr>
            <w:tcW w:w="5307" w:type="dxa"/>
            <w:vAlign w:val="center"/>
          </w:tcPr>
          <w:p>
            <w:pPr>
              <w:spacing w:line="360" w:lineRule="auto"/>
              <w:jc w:val="left"/>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根据投标人提供的项目实施方案内容，由评委进行综合评审。方案清晰、完整、严谨、详细、合理、针对性可行性强的得3分；基本清晰、完整、严谨、详细、合理、针对性可行性较强的得</w:t>
            </w:r>
            <w:r>
              <w:rPr>
                <w:rFonts w:hint="eastAsia" w:asciiTheme="minorHAnsi" w:hAnsiTheme="minorHAnsi" w:eastAsiaTheme="minorEastAsia" w:cstheme="minorBidi"/>
                <w:b/>
                <w:kern w:val="0"/>
                <w:sz w:val="20"/>
                <w:szCs w:val="20"/>
                <w:lang w:val="en-US" w:eastAsia="zh-CN"/>
              </w:rPr>
              <w:t>2</w:t>
            </w:r>
            <w:r>
              <w:rPr>
                <w:rFonts w:hint="eastAsia" w:asciiTheme="minorHAnsi" w:hAnsiTheme="minorHAnsi" w:eastAsiaTheme="minorEastAsia" w:cstheme="minorBidi"/>
                <w:b/>
                <w:kern w:val="0"/>
                <w:sz w:val="20"/>
                <w:szCs w:val="20"/>
                <w:lang w:val="en-US" w:eastAsia="zh-Hans"/>
              </w:rPr>
              <w:t>分；方案措施内容一般、针对性可行性一般的</w:t>
            </w:r>
            <w:r>
              <w:rPr>
                <w:rFonts w:hint="eastAsia" w:asciiTheme="minorHAnsi" w:hAnsiTheme="minorHAnsi" w:eastAsiaTheme="minorEastAsia" w:cstheme="minorBidi"/>
                <w:b/>
                <w:kern w:val="0"/>
                <w:sz w:val="20"/>
                <w:szCs w:val="20"/>
                <w:lang w:val="en-US" w:eastAsia="zh-CN"/>
              </w:rPr>
              <w:t>1</w:t>
            </w:r>
            <w:r>
              <w:rPr>
                <w:rFonts w:hint="eastAsia" w:asciiTheme="minorHAnsi" w:hAnsiTheme="minorHAnsi" w:eastAsiaTheme="minorEastAsia" w:cstheme="minorBidi"/>
                <w:b/>
                <w:kern w:val="0"/>
                <w:sz w:val="20"/>
                <w:szCs w:val="20"/>
                <w:lang w:val="en-US" w:eastAsia="zh-Hans"/>
              </w:rPr>
              <w:t>分，方案不合理或未提供方案的本项不得分。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18" w:type="dxa"/>
            <w:vAlign w:val="center"/>
          </w:tcPr>
          <w:p>
            <w:pPr>
              <w:spacing w:line="360" w:lineRule="auto"/>
              <w:jc w:val="center"/>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T3.质量控制方案</w:t>
            </w:r>
          </w:p>
        </w:tc>
        <w:tc>
          <w:tcPr>
            <w:tcW w:w="981" w:type="dxa"/>
            <w:vAlign w:val="center"/>
          </w:tcPr>
          <w:p>
            <w:pPr>
              <w:spacing w:line="360" w:lineRule="auto"/>
              <w:jc w:val="center"/>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3</w:t>
            </w:r>
          </w:p>
        </w:tc>
        <w:tc>
          <w:tcPr>
            <w:tcW w:w="5307" w:type="dxa"/>
            <w:vAlign w:val="center"/>
          </w:tcPr>
          <w:p>
            <w:pPr>
              <w:spacing w:line="360" w:lineRule="auto"/>
              <w:jc w:val="left"/>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根据投标人提供的质量控制方案内容，由评委进行综合评审。方案清晰、完整、严谨、详细、合理、针对性可行性强的得3分；基本清晰、完整、严谨、详细、合理、针对性可行性较强的得</w:t>
            </w:r>
            <w:r>
              <w:rPr>
                <w:rFonts w:hint="eastAsia" w:asciiTheme="minorHAnsi" w:hAnsiTheme="minorHAnsi" w:eastAsiaTheme="minorEastAsia" w:cstheme="minorBidi"/>
                <w:b/>
                <w:kern w:val="0"/>
                <w:sz w:val="20"/>
                <w:szCs w:val="20"/>
                <w:lang w:val="en-US" w:eastAsia="zh-CN"/>
              </w:rPr>
              <w:t>2</w:t>
            </w:r>
            <w:r>
              <w:rPr>
                <w:rFonts w:hint="eastAsia" w:asciiTheme="minorHAnsi" w:hAnsiTheme="minorHAnsi" w:eastAsiaTheme="minorEastAsia" w:cstheme="minorBidi"/>
                <w:b/>
                <w:kern w:val="0"/>
                <w:sz w:val="20"/>
                <w:szCs w:val="20"/>
                <w:lang w:val="en-US" w:eastAsia="zh-Hans"/>
              </w:rPr>
              <w:t>分；方案措施内容一般、针对性可行性一般的</w:t>
            </w:r>
            <w:r>
              <w:rPr>
                <w:rFonts w:hint="eastAsia" w:asciiTheme="minorHAnsi" w:hAnsiTheme="minorHAnsi" w:eastAsiaTheme="minorEastAsia" w:cstheme="minorBidi"/>
                <w:b/>
                <w:kern w:val="0"/>
                <w:sz w:val="20"/>
                <w:szCs w:val="20"/>
                <w:lang w:val="en-US" w:eastAsia="zh-CN"/>
              </w:rPr>
              <w:t>1</w:t>
            </w:r>
            <w:r>
              <w:rPr>
                <w:rFonts w:hint="eastAsia" w:asciiTheme="minorHAnsi" w:hAnsiTheme="minorHAnsi" w:eastAsiaTheme="minorEastAsia" w:cstheme="minorBidi"/>
                <w:b/>
                <w:kern w:val="0"/>
                <w:sz w:val="20"/>
                <w:szCs w:val="20"/>
                <w:lang w:val="en-US" w:eastAsia="zh-Hans"/>
              </w:rPr>
              <w:t>分，方案不合理或未提供方案的本项不得分。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18" w:type="dxa"/>
            <w:vAlign w:val="center"/>
          </w:tcPr>
          <w:p>
            <w:pPr>
              <w:spacing w:line="360" w:lineRule="auto"/>
              <w:jc w:val="center"/>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T4.项目进度计划</w:t>
            </w:r>
          </w:p>
        </w:tc>
        <w:tc>
          <w:tcPr>
            <w:tcW w:w="981" w:type="dxa"/>
            <w:vAlign w:val="center"/>
          </w:tcPr>
          <w:p>
            <w:pPr>
              <w:spacing w:line="360" w:lineRule="auto"/>
              <w:jc w:val="center"/>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3</w:t>
            </w:r>
          </w:p>
        </w:tc>
        <w:tc>
          <w:tcPr>
            <w:tcW w:w="5307" w:type="dxa"/>
            <w:vAlign w:val="center"/>
          </w:tcPr>
          <w:p>
            <w:pPr>
              <w:spacing w:line="360" w:lineRule="auto"/>
              <w:jc w:val="left"/>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根据投标人提供的项目进度计划，由评委进行综合评审。进度划分方案情况详尽完整、符合本项目的实际情况的得3分，有针对性但内容不完整的得</w:t>
            </w:r>
            <w:r>
              <w:rPr>
                <w:rFonts w:hint="eastAsia" w:asciiTheme="minorHAnsi" w:hAnsiTheme="minorHAnsi" w:eastAsiaTheme="minorEastAsia" w:cstheme="minorBidi"/>
                <w:b/>
                <w:kern w:val="0"/>
                <w:sz w:val="20"/>
                <w:szCs w:val="20"/>
                <w:lang w:val="en-US" w:eastAsia="zh-CN"/>
              </w:rPr>
              <w:t>2</w:t>
            </w:r>
            <w:r>
              <w:rPr>
                <w:rFonts w:hint="eastAsia" w:asciiTheme="minorHAnsi" w:hAnsiTheme="minorHAnsi" w:eastAsiaTheme="minorEastAsia" w:cstheme="minorBidi"/>
                <w:b/>
                <w:kern w:val="0"/>
                <w:sz w:val="20"/>
                <w:szCs w:val="20"/>
                <w:lang w:val="en-US" w:eastAsia="zh-Hans"/>
              </w:rPr>
              <w:t>分，有通用方案但无针对性的得</w:t>
            </w:r>
            <w:r>
              <w:rPr>
                <w:rFonts w:hint="eastAsia" w:asciiTheme="minorHAnsi" w:hAnsiTheme="minorHAnsi" w:eastAsiaTheme="minorEastAsia" w:cstheme="minorBidi"/>
                <w:b/>
                <w:kern w:val="0"/>
                <w:sz w:val="20"/>
                <w:szCs w:val="20"/>
                <w:lang w:val="en-US" w:eastAsia="zh-CN"/>
              </w:rPr>
              <w:t>1</w:t>
            </w:r>
            <w:r>
              <w:rPr>
                <w:rFonts w:hint="eastAsia" w:asciiTheme="minorHAnsi" w:hAnsiTheme="minorHAnsi" w:eastAsiaTheme="minorEastAsia" w:cstheme="minorBidi"/>
                <w:b/>
                <w:kern w:val="0"/>
                <w:sz w:val="20"/>
                <w:szCs w:val="20"/>
                <w:lang w:val="en-US" w:eastAsia="zh-Hans"/>
              </w:rPr>
              <w:t>分；方案不合理或未提供方案的本项不得分。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18" w:type="dxa"/>
            <w:vAlign w:val="center"/>
          </w:tcPr>
          <w:p>
            <w:pPr>
              <w:spacing w:line="360" w:lineRule="auto"/>
              <w:jc w:val="center"/>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T5.人员配备</w:t>
            </w:r>
          </w:p>
        </w:tc>
        <w:tc>
          <w:tcPr>
            <w:tcW w:w="981" w:type="dxa"/>
            <w:vAlign w:val="center"/>
          </w:tcPr>
          <w:p>
            <w:pPr>
              <w:spacing w:line="360" w:lineRule="auto"/>
              <w:jc w:val="center"/>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3</w:t>
            </w:r>
          </w:p>
        </w:tc>
        <w:tc>
          <w:tcPr>
            <w:tcW w:w="5307" w:type="dxa"/>
            <w:vAlign w:val="center"/>
          </w:tcPr>
          <w:p>
            <w:pPr>
              <w:spacing w:line="360" w:lineRule="auto"/>
              <w:jc w:val="left"/>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根据投标人提供的人员配备情况，由评委进行综合评审。人员配合科学合理针对性可行性强的得3分，针对性可行性较强的得</w:t>
            </w:r>
            <w:r>
              <w:rPr>
                <w:rFonts w:hint="eastAsia" w:asciiTheme="minorHAnsi" w:hAnsiTheme="minorHAnsi" w:eastAsiaTheme="minorEastAsia" w:cstheme="minorBidi"/>
                <w:b/>
                <w:kern w:val="0"/>
                <w:sz w:val="20"/>
                <w:szCs w:val="20"/>
                <w:lang w:val="en-US" w:eastAsia="zh-CN"/>
              </w:rPr>
              <w:t>2</w:t>
            </w:r>
            <w:r>
              <w:rPr>
                <w:rFonts w:hint="eastAsia" w:asciiTheme="minorHAnsi" w:hAnsiTheme="minorHAnsi" w:eastAsiaTheme="minorEastAsia" w:cstheme="minorBidi"/>
                <w:b/>
                <w:kern w:val="0"/>
                <w:sz w:val="20"/>
                <w:szCs w:val="20"/>
                <w:lang w:val="en-US" w:eastAsia="zh-Hans"/>
              </w:rPr>
              <w:t>分，一般的得</w:t>
            </w:r>
            <w:r>
              <w:rPr>
                <w:rFonts w:hint="eastAsia" w:asciiTheme="minorHAnsi" w:hAnsiTheme="minorHAnsi" w:eastAsiaTheme="minorEastAsia" w:cstheme="minorBidi"/>
                <w:b/>
                <w:kern w:val="0"/>
                <w:sz w:val="20"/>
                <w:szCs w:val="20"/>
                <w:lang w:val="en-US" w:eastAsia="zh-CN"/>
              </w:rPr>
              <w:t>1</w:t>
            </w:r>
            <w:r>
              <w:rPr>
                <w:rFonts w:hint="eastAsia" w:asciiTheme="minorHAnsi" w:hAnsiTheme="minorHAnsi" w:eastAsiaTheme="minorEastAsia" w:cstheme="minorBidi"/>
                <w:b/>
                <w:kern w:val="0"/>
                <w:sz w:val="20"/>
                <w:szCs w:val="20"/>
                <w:lang w:val="en-US" w:eastAsia="zh-Hans"/>
              </w:rPr>
              <w:t>分</w:t>
            </w:r>
            <w:r>
              <w:rPr>
                <w:rFonts w:hint="eastAsia" w:asciiTheme="minorHAnsi" w:hAnsiTheme="minorHAnsi" w:eastAsiaTheme="minorEastAsia" w:cstheme="minorBidi"/>
                <w:b/>
                <w:kern w:val="0"/>
                <w:sz w:val="20"/>
                <w:szCs w:val="20"/>
                <w:lang w:val="en-US" w:eastAsia="zh-CN"/>
              </w:rPr>
              <w:t>；</w:t>
            </w:r>
            <w:r>
              <w:rPr>
                <w:rFonts w:hint="eastAsia" w:asciiTheme="minorHAnsi" w:hAnsiTheme="minorHAnsi" w:eastAsiaTheme="minorEastAsia" w:cstheme="minorBidi"/>
                <w:b/>
                <w:kern w:val="0"/>
                <w:sz w:val="20"/>
                <w:szCs w:val="20"/>
                <w:lang w:val="en-US" w:eastAsia="zh-Hans"/>
              </w:rPr>
              <w:t>方案不合理或未提供方案的本项不得分。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18" w:type="dxa"/>
            <w:vAlign w:val="center"/>
          </w:tcPr>
          <w:p>
            <w:pPr>
              <w:spacing w:line="360" w:lineRule="auto"/>
              <w:jc w:val="center"/>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T6.材料管理措施</w:t>
            </w:r>
          </w:p>
        </w:tc>
        <w:tc>
          <w:tcPr>
            <w:tcW w:w="981" w:type="dxa"/>
            <w:vAlign w:val="center"/>
          </w:tcPr>
          <w:p>
            <w:pPr>
              <w:spacing w:line="360" w:lineRule="auto"/>
              <w:jc w:val="center"/>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3</w:t>
            </w:r>
          </w:p>
        </w:tc>
        <w:tc>
          <w:tcPr>
            <w:tcW w:w="5307" w:type="dxa"/>
            <w:vAlign w:val="center"/>
          </w:tcPr>
          <w:p>
            <w:pPr>
              <w:spacing w:line="360" w:lineRule="auto"/>
              <w:jc w:val="left"/>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根据投标人所提供的材料进场安排是否合理，材料来源的合法性，原材的品质的来源等措施情况，由评委进行评分：方案详尽完整、符合本项目的实际情况的得3分</w:t>
            </w:r>
            <w:r>
              <w:rPr>
                <w:rFonts w:hint="eastAsia" w:asciiTheme="minorHAnsi" w:hAnsiTheme="minorHAnsi" w:eastAsiaTheme="minorEastAsia" w:cstheme="minorBidi"/>
                <w:b/>
                <w:kern w:val="0"/>
                <w:sz w:val="20"/>
                <w:szCs w:val="20"/>
                <w:lang w:val="en-US" w:eastAsia="zh-CN"/>
              </w:rPr>
              <w:t>；</w:t>
            </w:r>
            <w:r>
              <w:rPr>
                <w:rFonts w:hint="eastAsia" w:asciiTheme="minorHAnsi" w:hAnsiTheme="minorHAnsi" w:eastAsiaTheme="minorEastAsia" w:cstheme="minorBidi"/>
                <w:b/>
                <w:kern w:val="0"/>
                <w:sz w:val="20"/>
                <w:szCs w:val="20"/>
                <w:lang w:val="en-US" w:eastAsia="zh-Hans"/>
              </w:rPr>
              <w:t>有针对性但内容不完整的得</w:t>
            </w:r>
            <w:r>
              <w:rPr>
                <w:rFonts w:hint="eastAsia" w:asciiTheme="minorHAnsi" w:hAnsiTheme="minorHAnsi" w:eastAsiaTheme="minorEastAsia" w:cstheme="minorBidi"/>
                <w:b/>
                <w:kern w:val="0"/>
                <w:sz w:val="20"/>
                <w:szCs w:val="20"/>
                <w:lang w:val="en-US" w:eastAsia="zh-CN"/>
              </w:rPr>
              <w:t>2</w:t>
            </w:r>
            <w:r>
              <w:rPr>
                <w:rFonts w:hint="eastAsia" w:asciiTheme="minorHAnsi" w:hAnsiTheme="minorHAnsi" w:eastAsiaTheme="minorEastAsia" w:cstheme="minorBidi"/>
                <w:b/>
                <w:kern w:val="0"/>
                <w:sz w:val="20"/>
                <w:szCs w:val="20"/>
                <w:lang w:val="en-US" w:eastAsia="zh-Hans"/>
              </w:rPr>
              <w:t>分；有提供通用方案但无针对性的得</w:t>
            </w:r>
            <w:r>
              <w:rPr>
                <w:rFonts w:hint="eastAsia" w:asciiTheme="minorHAnsi" w:hAnsiTheme="minorHAnsi" w:eastAsiaTheme="minorEastAsia" w:cstheme="minorBidi"/>
                <w:b/>
                <w:kern w:val="0"/>
                <w:sz w:val="20"/>
                <w:szCs w:val="20"/>
                <w:lang w:val="en-US" w:eastAsia="zh-CN"/>
              </w:rPr>
              <w:t>1</w:t>
            </w:r>
            <w:r>
              <w:rPr>
                <w:rFonts w:hint="eastAsia" w:asciiTheme="minorHAnsi" w:hAnsiTheme="minorHAnsi" w:eastAsiaTheme="minorEastAsia" w:cstheme="minorBidi"/>
                <w:b/>
                <w:kern w:val="0"/>
                <w:sz w:val="20"/>
                <w:szCs w:val="20"/>
                <w:lang w:val="en-US" w:eastAsia="zh-Hans"/>
              </w:rPr>
              <w:t>分；方案不合理或未提供方案的本项不得分。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18" w:type="dxa"/>
            <w:vAlign w:val="center"/>
          </w:tcPr>
          <w:p>
            <w:pPr>
              <w:spacing w:line="360" w:lineRule="auto"/>
              <w:jc w:val="center"/>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T7.安全防范措施</w:t>
            </w:r>
          </w:p>
        </w:tc>
        <w:tc>
          <w:tcPr>
            <w:tcW w:w="981" w:type="dxa"/>
            <w:vAlign w:val="center"/>
          </w:tcPr>
          <w:p>
            <w:pPr>
              <w:spacing w:line="360" w:lineRule="auto"/>
              <w:jc w:val="center"/>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3</w:t>
            </w:r>
          </w:p>
        </w:tc>
        <w:tc>
          <w:tcPr>
            <w:tcW w:w="5307" w:type="dxa"/>
            <w:vAlign w:val="center"/>
          </w:tcPr>
          <w:p>
            <w:pPr>
              <w:spacing w:line="360" w:lineRule="auto"/>
              <w:jc w:val="left"/>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根据投标人提供的安全防范措施，由评委进行综合评审。措施清晰、完整、严谨、详细、合理、针对性可行性强的得3分；基本清晰、完整、严谨、详细、合理、针对性可行性较强的得</w:t>
            </w:r>
            <w:r>
              <w:rPr>
                <w:rFonts w:hint="eastAsia" w:asciiTheme="minorHAnsi" w:hAnsiTheme="minorHAnsi" w:eastAsiaTheme="minorEastAsia" w:cstheme="minorBidi"/>
                <w:b/>
                <w:kern w:val="0"/>
                <w:sz w:val="20"/>
                <w:szCs w:val="20"/>
                <w:lang w:val="en-US" w:eastAsia="zh-CN"/>
              </w:rPr>
              <w:t>2</w:t>
            </w:r>
            <w:r>
              <w:rPr>
                <w:rFonts w:hint="eastAsia" w:asciiTheme="minorHAnsi" w:hAnsiTheme="minorHAnsi" w:eastAsiaTheme="minorEastAsia" w:cstheme="minorBidi"/>
                <w:b/>
                <w:kern w:val="0"/>
                <w:sz w:val="20"/>
                <w:szCs w:val="20"/>
                <w:lang w:val="en-US" w:eastAsia="zh-Hans"/>
              </w:rPr>
              <w:t>分；方案措施内容一般、针对性可行性一般的</w:t>
            </w:r>
            <w:r>
              <w:rPr>
                <w:rFonts w:hint="eastAsia" w:asciiTheme="minorHAnsi" w:hAnsiTheme="minorHAnsi" w:eastAsiaTheme="minorEastAsia" w:cstheme="minorBidi"/>
                <w:b/>
                <w:kern w:val="0"/>
                <w:sz w:val="20"/>
                <w:szCs w:val="20"/>
                <w:lang w:val="en-US" w:eastAsia="zh-CN"/>
              </w:rPr>
              <w:t>1</w:t>
            </w:r>
            <w:r>
              <w:rPr>
                <w:rFonts w:hint="eastAsia" w:asciiTheme="minorHAnsi" w:hAnsiTheme="minorHAnsi" w:eastAsiaTheme="minorEastAsia" w:cstheme="minorBidi"/>
                <w:b/>
                <w:kern w:val="0"/>
                <w:sz w:val="20"/>
                <w:szCs w:val="20"/>
                <w:lang w:val="en-US" w:eastAsia="zh-Hans"/>
              </w:rPr>
              <w:t>分</w:t>
            </w:r>
            <w:r>
              <w:rPr>
                <w:rFonts w:hint="eastAsia" w:asciiTheme="minorHAnsi" w:hAnsiTheme="minorHAnsi" w:eastAsiaTheme="minorEastAsia" w:cstheme="minorBidi"/>
                <w:b/>
                <w:kern w:val="0"/>
                <w:sz w:val="20"/>
                <w:szCs w:val="20"/>
                <w:lang w:val="en-US" w:eastAsia="zh-CN"/>
              </w:rPr>
              <w:t>；</w:t>
            </w:r>
            <w:r>
              <w:rPr>
                <w:rFonts w:hint="eastAsia" w:asciiTheme="minorHAnsi" w:hAnsiTheme="minorHAnsi" w:eastAsiaTheme="minorEastAsia" w:cstheme="minorBidi"/>
                <w:b/>
                <w:kern w:val="0"/>
                <w:sz w:val="20"/>
                <w:szCs w:val="20"/>
                <w:lang w:val="en-US" w:eastAsia="zh-Hans"/>
              </w:rPr>
              <w:t>方案不合理或未提供方案的本项不得分。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18" w:type="dxa"/>
            <w:vAlign w:val="center"/>
          </w:tcPr>
          <w:p>
            <w:pPr>
              <w:spacing w:line="360" w:lineRule="auto"/>
              <w:jc w:val="center"/>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T8、培训计划</w:t>
            </w:r>
          </w:p>
        </w:tc>
        <w:tc>
          <w:tcPr>
            <w:tcW w:w="981" w:type="dxa"/>
            <w:vAlign w:val="center"/>
          </w:tcPr>
          <w:p>
            <w:pPr>
              <w:spacing w:line="360" w:lineRule="auto"/>
              <w:jc w:val="center"/>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3</w:t>
            </w:r>
          </w:p>
        </w:tc>
        <w:tc>
          <w:tcPr>
            <w:tcW w:w="5307" w:type="dxa"/>
            <w:vAlign w:val="center"/>
          </w:tcPr>
          <w:p>
            <w:pPr>
              <w:pStyle w:val="2"/>
              <w:spacing w:line="460" w:lineRule="exact"/>
              <w:jc w:val="left"/>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根据投标人对采购人的管理人员、操作人员及设备维护人员进行培训、技术支持等承诺情况由评标委员会进行综合评议并进行打分，培训方案详细，可操作性强，承诺情况较优的得3分，培训方案简短，但整体具可操作的得</w:t>
            </w:r>
            <w:r>
              <w:rPr>
                <w:rFonts w:hint="eastAsia" w:asciiTheme="minorHAnsi" w:hAnsiTheme="minorHAnsi" w:eastAsiaTheme="minorEastAsia" w:cstheme="minorBidi"/>
                <w:b/>
                <w:kern w:val="0"/>
                <w:sz w:val="20"/>
                <w:szCs w:val="20"/>
                <w:lang w:val="en-US" w:eastAsia="zh-CN"/>
              </w:rPr>
              <w:t>2</w:t>
            </w:r>
            <w:r>
              <w:rPr>
                <w:rFonts w:hint="eastAsia" w:asciiTheme="minorHAnsi" w:hAnsiTheme="minorHAnsi" w:eastAsiaTheme="minorEastAsia" w:cstheme="minorBidi"/>
                <w:b/>
                <w:kern w:val="0"/>
                <w:sz w:val="20"/>
                <w:szCs w:val="20"/>
                <w:lang w:val="en-US" w:eastAsia="zh-Hans"/>
              </w:rPr>
              <w:t>分，方案阐述简短或无实质内容或方案可操作性不强的得</w:t>
            </w:r>
            <w:r>
              <w:rPr>
                <w:rFonts w:hint="eastAsia" w:asciiTheme="minorHAnsi" w:hAnsiTheme="minorHAnsi" w:eastAsiaTheme="minorEastAsia" w:cstheme="minorBidi"/>
                <w:b/>
                <w:kern w:val="0"/>
                <w:sz w:val="20"/>
                <w:szCs w:val="20"/>
                <w:lang w:val="en-US" w:eastAsia="zh-CN"/>
              </w:rPr>
              <w:t>1</w:t>
            </w:r>
            <w:r>
              <w:rPr>
                <w:rFonts w:hint="eastAsia" w:asciiTheme="minorHAnsi" w:hAnsiTheme="minorHAnsi" w:eastAsiaTheme="minorEastAsia" w:cstheme="minorBidi"/>
                <w:b/>
                <w:kern w:val="0"/>
                <w:sz w:val="20"/>
                <w:szCs w:val="20"/>
                <w:lang w:val="en-US" w:eastAsia="zh-Hans"/>
              </w:rPr>
              <w:t>分；方案不合理或未提供方案的本项不得分。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18" w:type="dxa"/>
            <w:vAlign w:val="center"/>
          </w:tcPr>
          <w:p>
            <w:pPr>
              <w:spacing w:line="360" w:lineRule="auto"/>
              <w:jc w:val="center"/>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T9.突发事件的预案和处置方案</w:t>
            </w:r>
          </w:p>
        </w:tc>
        <w:tc>
          <w:tcPr>
            <w:tcW w:w="981" w:type="dxa"/>
            <w:vAlign w:val="center"/>
          </w:tcPr>
          <w:p>
            <w:pPr>
              <w:spacing w:line="360" w:lineRule="auto"/>
              <w:jc w:val="center"/>
              <w:rPr>
                <w:rFonts w:hint="default" w:asciiTheme="minorHAnsi" w:hAnsiTheme="minorHAnsi" w:eastAsiaTheme="minorEastAsia" w:cstheme="minorBidi"/>
                <w:b/>
                <w:kern w:val="0"/>
                <w:sz w:val="20"/>
                <w:szCs w:val="20"/>
                <w:lang w:val="en-US" w:eastAsia="zh-CN"/>
              </w:rPr>
            </w:pPr>
            <w:r>
              <w:rPr>
                <w:rFonts w:hint="eastAsia" w:asciiTheme="minorHAnsi" w:hAnsiTheme="minorHAnsi" w:eastAsiaTheme="minorEastAsia" w:cstheme="minorBidi"/>
                <w:b/>
                <w:kern w:val="0"/>
                <w:sz w:val="20"/>
                <w:szCs w:val="20"/>
                <w:lang w:val="en-US" w:eastAsia="zh-Hans"/>
              </w:rPr>
              <w:t>3</w:t>
            </w:r>
          </w:p>
        </w:tc>
        <w:tc>
          <w:tcPr>
            <w:tcW w:w="5307" w:type="dxa"/>
            <w:vAlign w:val="center"/>
          </w:tcPr>
          <w:p>
            <w:pPr>
              <w:spacing w:line="360" w:lineRule="auto"/>
              <w:jc w:val="left"/>
              <w:rPr>
                <w:rFonts w:hint="eastAsia" w:asciiTheme="minorHAnsi" w:hAnsiTheme="minorHAnsi" w:eastAsiaTheme="minorEastAsia" w:cstheme="minorBidi"/>
                <w:b/>
                <w:kern w:val="0"/>
                <w:sz w:val="20"/>
                <w:szCs w:val="20"/>
                <w:lang w:val="en-US" w:eastAsia="zh-Hans"/>
              </w:rPr>
            </w:pPr>
            <w:r>
              <w:rPr>
                <w:rFonts w:hint="eastAsia" w:asciiTheme="minorHAnsi" w:hAnsiTheme="minorHAnsi" w:eastAsiaTheme="minorEastAsia" w:cstheme="minorBidi"/>
                <w:b/>
                <w:kern w:val="0"/>
                <w:sz w:val="20"/>
                <w:szCs w:val="20"/>
                <w:lang w:val="en-US" w:eastAsia="zh-Hans"/>
              </w:rPr>
              <w:t>根据投标人提供的突发事件的预案和处置方案，由评委进行综合评审。方案清晰、完整、严谨、详细、合理、针对性可行性强的得3分；基本清晰、完整、严谨、详细、合理、针对性可行性较强的得</w:t>
            </w:r>
            <w:r>
              <w:rPr>
                <w:rFonts w:hint="eastAsia" w:asciiTheme="minorHAnsi" w:hAnsiTheme="minorHAnsi" w:eastAsiaTheme="minorEastAsia" w:cstheme="minorBidi"/>
                <w:b/>
                <w:kern w:val="0"/>
                <w:sz w:val="20"/>
                <w:szCs w:val="20"/>
                <w:lang w:val="en-US" w:eastAsia="zh-CN"/>
              </w:rPr>
              <w:t>2</w:t>
            </w:r>
            <w:r>
              <w:rPr>
                <w:rFonts w:hint="eastAsia" w:asciiTheme="minorHAnsi" w:hAnsiTheme="minorHAnsi" w:eastAsiaTheme="minorEastAsia" w:cstheme="minorBidi"/>
                <w:b/>
                <w:kern w:val="0"/>
                <w:sz w:val="20"/>
                <w:szCs w:val="20"/>
                <w:lang w:val="en-US" w:eastAsia="zh-Hans"/>
              </w:rPr>
              <w:t>分；方案措施内容一般、针对性可行性一般的</w:t>
            </w:r>
            <w:r>
              <w:rPr>
                <w:rFonts w:hint="eastAsia" w:asciiTheme="minorHAnsi" w:hAnsiTheme="minorHAnsi" w:eastAsiaTheme="minorEastAsia" w:cstheme="minorBidi"/>
                <w:b/>
                <w:kern w:val="0"/>
                <w:sz w:val="20"/>
                <w:szCs w:val="20"/>
                <w:lang w:val="en-US" w:eastAsia="zh-CN"/>
              </w:rPr>
              <w:t>1</w:t>
            </w:r>
            <w:r>
              <w:rPr>
                <w:rFonts w:hint="eastAsia" w:asciiTheme="minorHAnsi" w:hAnsiTheme="minorHAnsi" w:eastAsiaTheme="minorEastAsia" w:cstheme="minorBidi"/>
                <w:b/>
                <w:kern w:val="0"/>
                <w:sz w:val="20"/>
                <w:szCs w:val="20"/>
                <w:lang w:val="en-US" w:eastAsia="zh-Hans"/>
              </w:rPr>
              <w:t>分，方案不合理或未提供方案的本项不得分。</w:t>
            </w:r>
          </w:p>
        </w:tc>
      </w:tr>
    </w:tbl>
    <w:p>
      <w:pPr>
        <w:pStyle w:val="12"/>
        <w:jc w:val="both"/>
      </w:pPr>
      <w:r>
        <w:rPr>
          <w:b/>
        </w:rPr>
        <w:t>商务项（F3×A3）满分为1</w:t>
      </w:r>
      <w:r>
        <w:rPr>
          <w:rFonts w:hint="eastAsia"/>
          <w:b/>
          <w:lang w:val="en-US" w:eastAsia="zh-CN"/>
        </w:rPr>
        <w:t>7</w:t>
      </w:r>
      <w:r>
        <w:rPr>
          <w:b/>
        </w:rPr>
        <w:t>.00分</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31"/>
        <w:gridCol w:w="996"/>
        <w:gridCol w:w="527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1" w:type="dxa"/>
          </w:tcPr>
          <w:p>
            <w:pPr>
              <w:pStyle w:val="12"/>
              <w:jc w:val="both"/>
            </w:pPr>
            <w:r>
              <w:rPr>
                <w:b/>
              </w:rPr>
              <w:t>项目</w:t>
            </w:r>
          </w:p>
        </w:tc>
        <w:tc>
          <w:tcPr>
            <w:tcW w:w="996" w:type="dxa"/>
          </w:tcPr>
          <w:p>
            <w:pPr>
              <w:pStyle w:val="12"/>
              <w:jc w:val="both"/>
            </w:pPr>
            <w:r>
              <w:rPr>
                <w:b/>
              </w:rPr>
              <w:t>分值</w:t>
            </w:r>
          </w:p>
        </w:tc>
        <w:tc>
          <w:tcPr>
            <w:tcW w:w="5279" w:type="dxa"/>
          </w:tcPr>
          <w:p>
            <w:pPr>
              <w:pStyle w:val="12"/>
              <w:jc w:val="both"/>
            </w:pPr>
            <w:r>
              <w:rPr>
                <w:b/>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1" w:type="dxa"/>
          </w:tcPr>
          <w:p>
            <w:pPr>
              <w:pStyle w:val="12"/>
              <w:jc w:val="both"/>
            </w:pPr>
            <w:r>
              <w:rPr>
                <w:rFonts w:hint="eastAsia"/>
                <w:b/>
                <w:lang w:val="en-US" w:eastAsia="zh-CN"/>
              </w:rPr>
              <w:t>B1.</w:t>
            </w:r>
            <w:r>
              <w:rPr>
                <w:b/>
              </w:rPr>
              <w:t>售后技术人员配置</w:t>
            </w:r>
          </w:p>
        </w:tc>
        <w:tc>
          <w:tcPr>
            <w:tcW w:w="996" w:type="dxa"/>
          </w:tcPr>
          <w:p>
            <w:pPr>
              <w:pStyle w:val="12"/>
              <w:jc w:val="center"/>
            </w:pPr>
            <w:r>
              <w:rPr>
                <w:b/>
              </w:rPr>
              <w:t>2</w:t>
            </w:r>
          </w:p>
        </w:tc>
        <w:tc>
          <w:tcPr>
            <w:tcW w:w="5279" w:type="dxa"/>
          </w:tcPr>
          <w:p>
            <w:pPr>
              <w:pStyle w:val="12"/>
              <w:jc w:val="both"/>
            </w:pPr>
            <w:r>
              <w:rPr>
                <w:b/>
              </w:rPr>
              <w:t>投标人提供支持本项目的售后技术人员，须提供有效期内国家相关部门颁发的特种作业电工证，提供技术人员证书复印件</w:t>
            </w:r>
            <w:r>
              <w:rPr>
                <w:rFonts w:hint="eastAsia"/>
                <w:b/>
                <w:lang w:eastAsia="zh-CN"/>
              </w:rPr>
              <w:t>并加盖公章</w:t>
            </w:r>
            <w:r>
              <w:rPr>
                <w:b/>
              </w:rPr>
              <w:t>（原件备查），每提供一个得0.5分，未提供的不得分。满分2分。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1" w:type="dxa"/>
          </w:tcPr>
          <w:p>
            <w:pPr>
              <w:pStyle w:val="12"/>
              <w:jc w:val="both"/>
            </w:pPr>
            <w:r>
              <w:rPr>
                <w:rFonts w:hint="eastAsia"/>
                <w:b/>
                <w:lang w:val="en-US" w:eastAsia="zh-CN"/>
              </w:rPr>
              <w:t>B2.</w:t>
            </w:r>
            <w:r>
              <w:rPr>
                <w:b/>
              </w:rPr>
              <w:t>质保期承诺</w:t>
            </w:r>
          </w:p>
        </w:tc>
        <w:tc>
          <w:tcPr>
            <w:tcW w:w="996" w:type="dxa"/>
          </w:tcPr>
          <w:p>
            <w:pPr>
              <w:pStyle w:val="12"/>
              <w:jc w:val="center"/>
            </w:pPr>
            <w:r>
              <w:rPr>
                <w:b/>
              </w:rPr>
              <w:t>2</w:t>
            </w:r>
          </w:p>
        </w:tc>
        <w:tc>
          <w:tcPr>
            <w:tcW w:w="5279" w:type="dxa"/>
          </w:tcPr>
          <w:p>
            <w:pPr>
              <w:pStyle w:val="12"/>
              <w:jc w:val="both"/>
            </w:pPr>
            <w:r>
              <w:rPr>
                <w:b/>
              </w:rPr>
              <w:t>根据各投标人的质保期时间承诺:满足招标文件要求的不得分，在不增加费用的情况下免费保修期（针对整个合同包所有货物的免费保修期延长）每增加一年加1分，满分2分。未提供明确的质保期承诺的视同响应招标文件要求但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1" w:type="dxa"/>
          </w:tcPr>
          <w:p>
            <w:pPr>
              <w:pStyle w:val="12"/>
              <w:jc w:val="both"/>
            </w:pPr>
            <w:r>
              <w:rPr>
                <w:rFonts w:hint="eastAsia"/>
                <w:b/>
                <w:lang w:val="en-US" w:eastAsia="zh-CN"/>
              </w:rPr>
              <w:t>B3.</w:t>
            </w:r>
            <w:r>
              <w:rPr>
                <w:b/>
              </w:rPr>
              <w:t>业绩</w:t>
            </w:r>
          </w:p>
        </w:tc>
        <w:tc>
          <w:tcPr>
            <w:tcW w:w="996" w:type="dxa"/>
          </w:tcPr>
          <w:p>
            <w:pPr>
              <w:pStyle w:val="12"/>
              <w:jc w:val="center"/>
            </w:pPr>
            <w:r>
              <w:rPr>
                <w:b/>
              </w:rPr>
              <w:t>2</w:t>
            </w:r>
          </w:p>
        </w:tc>
        <w:tc>
          <w:tcPr>
            <w:tcW w:w="5279" w:type="dxa"/>
          </w:tcPr>
          <w:p>
            <w:pPr>
              <w:pStyle w:val="12"/>
              <w:jc w:val="both"/>
            </w:pPr>
            <w:r>
              <w:rPr>
                <w:b/>
              </w:rPr>
              <w:t>根据投标人所提供的2020年1月1日至今由投标人在国内所完成的</w:t>
            </w:r>
            <w:r>
              <w:rPr>
                <w:rFonts w:hint="eastAsia"/>
                <w:b/>
                <w:lang w:val="en-US" w:eastAsia="zh-CN"/>
              </w:rPr>
              <w:t>类似</w:t>
            </w:r>
            <w:r>
              <w:rPr>
                <w:b/>
              </w:rPr>
              <w:t>业绩情况进行打分，提供一份完整的业绩材料得1分，满分2分。投标人须列表并提供该业绩项目的中标公告(提供相关网站中标公告的下载网页并注明网址)、中标通知书复印件、采购合同文本复印件</w:t>
            </w:r>
            <w:r>
              <w:rPr>
                <w:rFonts w:hint="eastAsia"/>
                <w:b/>
                <w:lang w:val="en-US" w:eastAsia="zh-CN"/>
              </w:rPr>
              <w:t>及能证明该项目采购人验收合格的相关证明文件复印件，每个案例均需完整提供上述证明材料的复印件并加盖供应商公章。</w:t>
            </w:r>
            <w:r>
              <w:rPr>
                <w:b/>
              </w:rPr>
              <w:t>所有材料缺一不可，否则不得分。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1" w:type="dxa"/>
          </w:tcPr>
          <w:p>
            <w:pPr>
              <w:pStyle w:val="12"/>
              <w:jc w:val="both"/>
            </w:pPr>
            <w:r>
              <w:rPr>
                <w:rFonts w:hint="eastAsia"/>
                <w:b/>
                <w:lang w:val="en-US" w:eastAsia="zh-CN"/>
              </w:rPr>
              <w:t>B4.资质</w:t>
            </w:r>
            <w:r>
              <w:rPr>
                <w:b/>
              </w:rPr>
              <w:t>证书</w:t>
            </w:r>
          </w:p>
        </w:tc>
        <w:tc>
          <w:tcPr>
            <w:tcW w:w="996" w:type="dxa"/>
          </w:tcPr>
          <w:p>
            <w:pPr>
              <w:pStyle w:val="12"/>
              <w:jc w:val="center"/>
              <w:rPr>
                <w:rFonts w:hint="eastAsia" w:eastAsiaTheme="minorEastAsia"/>
                <w:lang w:val="en-US" w:eastAsia="zh-CN"/>
              </w:rPr>
            </w:pPr>
            <w:r>
              <w:rPr>
                <w:rFonts w:hint="eastAsia"/>
                <w:b/>
                <w:lang w:val="en-US" w:eastAsia="zh-CN"/>
              </w:rPr>
              <w:t>1</w:t>
            </w:r>
          </w:p>
        </w:tc>
        <w:tc>
          <w:tcPr>
            <w:tcW w:w="5279" w:type="dxa"/>
          </w:tcPr>
          <w:p>
            <w:pPr>
              <w:pStyle w:val="12"/>
              <w:jc w:val="both"/>
            </w:pPr>
            <w:r>
              <w:rPr>
                <w:b/>
              </w:rPr>
              <w:t>投标人</w:t>
            </w:r>
            <w:r>
              <w:rPr>
                <w:rFonts w:hint="eastAsia"/>
                <w:b/>
                <w:lang w:val="en-US" w:eastAsia="zh-CN"/>
              </w:rPr>
              <w:t>采购的空调设备制造商需提供</w:t>
            </w:r>
            <w:r>
              <w:rPr>
                <w:b/>
              </w:rPr>
              <w:t>ISO9001:2015</w:t>
            </w:r>
            <w:r>
              <w:rPr>
                <w:rFonts w:hint="eastAsia"/>
                <w:b/>
                <w:lang w:val="en-US" w:eastAsia="zh-CN"/>
              </w:rPr>
              <w:t>资质证书，</w:t>
            </w:r>
            <w:r>
              <w:rPr>
                <w:b/>
              </w:rPr>
              <w:t>资质证书复印件（加盖公章)；每提供一份证书得0.5分，满分1分。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1" w:type="dxa"/>
          </w:tcPr>
          <w:p>
            <w:pPr>
              <w:pStyle w:val="12"/>
              <w:jc w:val="both"/>
              <w:rPr>
                <w:color w:val="auto"/>
              </w:rPr>
            </w:pPr>
            <w:r>
              <w:rPr>
                <w:rFonts w:hint="eastAsia"/>
                <w:b/>
                <w:color w:val="auto"/>
                <w:lang w:val="en-US" w:eastAsia="zh-CN"/>
              </w:rPr>
              <w:t>B5.</w:t>
            </w:r>
            <w:r>
              <w:rPr>
                <w:b/>
                <w:color w:val="auto"/>
              </w:rPr>
              <w:t>证书</w:t>
            </w:r>
          </w:p>
        </w:tc>
        <w:tc>
          <w:tcPr>
            <w:tcW w:w="996" w:type="dxa"/>
          </w:tcPr>
          <w:p>
            <w:pPr>
              <w:pStyle w:val="12"/>
              <w:jc w:val="center"/>
              <w:rPr>
                <w:rFonts w:hint="eastAsia" w:eastAsiaTheme="minorEastAsia"/>
                <w:color w:val="auto"/>
                <w:lang w:eastAsia="zh-CN"/>
              </w:rPr>
            </w:pPr>
            <w:r>
              <w:rPr>
                <w:rFonts w:hint="eastAsia"/>
                <w:b/>
                <w:color w:val="auto"/>
                <w:lang w:val="en-US" w:eastAsia="zh-CN"/>
              </w:rPr>
              <w:t>1</w:t>
            </w:r>
          </w:p>
        </w:tc>
        <w:tc>
          <w:tcPr>
            <w:tcW w:w="5279" w:type="dxa"/>
          </w:tcPr>
          <w:p>
            <w:pPr>
              <w:pStyle w:val="12"/>
              <w:jc w:val="both"/>
              <w:rPr>
                <w:color w:val="auto"/>
              </w:rPr>
            </w:pPr>
            <w:r>
              <w:rPr>
                <w:b/>
                <w:color w:val="auto"/>
              </w:rPr>
              <w:t>投标人</w:t>
            </w:r>
            <w:r>
              <w:rPr>
                <w:rFonts w:hint="eastAsia"/>
                <w:b/>
                <w:color w:val="auto"/>
                <w:lang w:val="en-US" w:eastAsia="zh-CN"/>
              </w:rPr>
              <w:t>采购的空调设备制造商需提供建筑机电安装工程专业承包证书，</w:t>
            </w:r>
            <w:r>
              <w:rPr>
                <w:b/>
                <w:color w:val="auto"/>
              </w:rPr>
              <w:t>资质证书复印件（加盖公章)；每提供一份证书得</w:t>
            </w:r>
            <w:r>
              <w:rPr>
                <w:rFonts w:hint="eastAsia"/>
                <w:b/>
                <w:color w:val="auto"/>
                <w:lang w:val="en-US" w:eastAsia="zh-CN"/>
              </w:rPr>
              <w:t>1</w:t>
            </w:r>
            <w:r>
              <w:rPr>
                <w:b/>
                <w:color w:val="auto"/>
              </w:rPr>
              <w:t>分，满分1分。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1" w:type="dxa"/>
          </w:tcPr>
          <w:p>
            <w:pPr>
              <w:pStyle w:val="12"/>
              <w:jc w:val="both"/>
              <w:rPr>
                <w:color w:val="auto"/>
                <w:highlight w:val="none"/>
              </w:rPr>
            </w:pPr>
            <w:r>
              <w:rPr>
                <w:rFonts w:hint="eastAsia"/>
                <w:b/>
                <w:color w:val="auto"/>
                <w:highlight w:val="none"/>
                <w:lang w:val="en-US" w:eastAsia="zh-CN"/>
              </w:rPr>
              <w:t>B6.</w:t>
            </w:r>
            <w:r>
              <w:rPr>
                <w:b/>
                <w:color w:val="auto"/>
                <w:highlight w:val="none"/>
              </w:rPr>
              <w:t>企业信用等级证书</w:t>
            </w:r>
          </w:p>
        </w:tc>
        <w:tc>
          <w:tcPr>
            <w:tcW w:w="996" w:type="dxa"/>
          </w:tcPr>
          <w:p>
            <w:pPr>
              <w:pStyle w:val="12"/>
              <w:jc w:val="center"/>
              <w:rPr>
                <w:rFonts w:hint="eastAsia" w:eastAsiaTheme="minorEastAsia"/>
                <w:color w:val="auto"/>
                <w:highlight w:val="none"/>
                <w:lang w:eastAsia="zh-CN"/>
              </w:rPr>
            </w:pPr>
            <w:r>
              <w:rPr>
                <w:rFonts w:hint="eastAsia"/>
                <w:b/>
                <w:color w:val="auto"/>
                <w:highlight w:val="none"/>
                <w:lang w:val="en-US" w:eastAsia="zh-CN"/>
              </w:rPr>
              <w:t>1</w:t>
            </w:r>
          </w:p>
        </w:tc>
        <w:tc>
          <w:tcPr>
            <w:tcW w:w="5279" w:type="dxa"/>
          </w:tcPr>
          <w:p>
            <w:pPr>
              <w:pStyle w:val="12"/>
              <w:jc w:val="both"/>
              <w:rPr>
                <w:color w:val="auto"/>
                <w:highlight w:val="none"/>
              </w:rPr>
            </w:pPr>
            <w:r>
              <w:rPr>
                <w:b/>
                <w:color w:val="auto"/>
                <w:highlight w:val="none"/>
              </w:rPr>
              <w:t>设备制造厂商</w:t>
            </w:r>
            <w:r>
              <w:rPr>
                <w:rFonts w:hint="eastAsia"/>
                <w:b/>
                <w:color w:val="auto"/>
                <w:highlight w:val="none"/>
                <w:lang w:eastAsia="zh-CN"/>
              </w:rPr>
              <w:t>提供国家认可的</w:t>
            </w:r>
            <w:r>
              <w:rPr>
                <w:b/>
                <w:color w:val="auto"/>
                <w:highlight w:val="none"/>
              </w:rPr>
              <w:t>AAA级“企业信用等级证书”的得</w:t>
            </w:r>
            <w:r>
              <w:rPr>
                <w:rFonts w:hint="eastAsia"/>
                <w:b/>
                <w:color w:val="auto"/>
                <w:highlight w:val="none"/>
                <w:lang w:val="en-US" w:eastAsia="zh-CN"/>
              </w:rPr>
              <w:t>0.5</w:t>
            </w:r>
            <w:r>
              <w:rPr>
                <w:b/>
                <w:color w:val="auto"/>
                <w:highlight w:val="none"/>
              </w:rPr>
              <w:t>分，设备制造厂商具备</w:t>
            </w:r>
            <w:r>
              <w:rPr>
                <w:rFonts w:hint="eastAsia"/>
                <w:b/>
                <w:color w:val="auto"/>
                <w:highlight w:val="none"/>
                <w:lang w:eastAsia="zh-CN"/>
              </w:rPr>
              <w:t>国家认可的</w:t>
            </w:r>
            <w:r>
              <w:rPr>
                <w:b/>
                <w:color w:val="auto"/>
                <w:highlight w:val="none"/>
              </w:rPr>
              <w:t>“中国设备维修安装企业能力等级证书”得</w:t>
            </w:r>
            <w:r>
              <w:rPr>
                <w:rFonts w:hint="eastAsia"/>
                <w:b/>
                <w:color w:val="auto"/>
                <w:highlight w:val="none"/>
                <w:lang w:val="en-US" w:eastAsia="zh-CN"/>
              </w:rPr>
              <w:t>0.</w:t>
            </w:r>
            <w:r>
              <w:rPr>
                <w:b/>
                <w:color w:val="auto"/>
                <w:highlight w:val="none"/>
              </w:rPr>
              <w:t>5分，满分</w:t>
            </w:r>
            <w:r>
              <w:rPr>
                <w:rFonts w:hint="eastAsia"/>
                <w:b/>
                <w:color w:val="auto"/>
                <w:highlight w:val="none"/>
                <w:lang w:val="en-US" w:eastAsia="zh-CN"/>
              </w:rPr>
              <w:t>1</w:t>
            </w:r>
            <w:r>
              <w:rPr>
                <w:b/>
                <w:color w:val="auto"/>
                <w:highlight w:val="none"/>
              </w:rPr>
              <w:t>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1" w:type="dxa"/>
          </w:tcPr>
          <w:p>
            <w:pPr>
              <w:pStyle w:val="12"/>
              <w:jc w:val="both"/>
              <w:rPr>
                <w:rFonts w:hint="default" w:eastAsiaTheme="minorEastAsia"/>
                <w:b/>
                <w:lang w:val="en-US" w:eastAsia="zh-CN"/>
              </w:rPr>
            </w:pPr>
            <w:r>
              <w:rPr>
                <w:rFonts w:hint="eastAsia"/>
                <w:b/>
                <w:lang w:val="en-US" w:eastAsia="zh-CN"/>
              </w:rPr>
              <w:t>B7.综合实力</w:t>
            </w:r>
          </w:p>
        </w:tc>
        <w:tc>
          <w:tcPr>
            <w:tcW w:w="996" w:type="dxa"/>
            <w:vAlign w:val="center"/>
          </w:tcPr>
          <w:p>
            <w:pPr>
              <w:pStyle w:val="12"/>
              <w:jc w:val="center"/>
              <w:rPr>
                <w:rFonts w:hint="default" w:eastAsiaTheme="minorEastAsia"/>
                <w:b/>
                <w:lang w:val="en-US" w:eastAsia="zh-CN"/>
              </w:rPr>
            </w:pPr>
            <w:r>
              <w:rPr>
                <w:rFonts w:hint="eastAsia"/>
                <w:b/>
                <w:lang w:val="en-US" w:eastAsia="zh-CN"/>
              </w:rPr>
              <w:t>1</w:t>
            </w:r>
          </w:p>
        </w:tc>
        <w:tc>
          <w:tcPr>
            <w:tcW w:w="5279" w:type="dxa"/>
            <w:vAlign w:val="center"/>
          </w:tcPr>
          <w:p>
            <w:pPr>
              <w:pStyle w:val="12"/>
              <w:jc w:val="both"/>
              <w:rPr>
                <w:b/>
              </w:rPr>
            </w:pPr>
            <w:r>
              <w:rPr>
                <w:rFonts w:hint="eastAsia"/>
                <w:b/>
              </w:rPr>
              <w:t>投标人或所投产品制造商</w:t>
            </w:r>
            <w:r>
              <w:rPr>
                <w:b/>
              </w:rPr>
              <w:t>具备</w:t>
            </w:r>
            <w:r>
              <w:rPr>
                <w:rFonts w:hint="eastAsia"/>
                <w:b/>
              </w:rPr>
              <w:t>通过 《商品售后服务认证证书》，达到五星级及以上得 1 分；未提供不得分。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1" w:type="dxa"/>
          </w:tcPr>
          <w:p>
            <w:pPr>
              <w:pStyle w:val="12"/>
              <w:jc w:val="both"/>
              <w:rPr>
                <w:rFonts w:hint="eastAsia"/>
                <w:b/>
                <w:lang w:val="en-US" w:eastAsia="zh-CN"/>
              </w:rPr>
            </w:pPr>
            <w:r>
              <w:rPr>
                <w:rFonts w:hint="eastAsia"/>
                <w:b/>
                <w:lang w:val="en-US" w:eastAsia="zh-CN"/>
              </w:rPr>
              <w:t>B8.售后服务</w:t>
            </w:r>
          </w:p>
          <w:p>
            <w:pPr>
              <w:pStyle w:val="12"/>
              <w:jc w:val="both"/>
              <w:rPr>
                <w:rFonts w:hint="eastAsia"/>
                <w:b/>
                <w:lang w:val="en-US" w:eastAsia="zh-CN"/>
              </w:rPr>
            </w:pPr>
          </w:p>
        </w:tc>
        <w:tc>
          <w:tcPr>
            <w:tcW w:w="996" w:type="dxa"/>
            <w:vAlign w:val="center"/>
          </w:tcPr>
          <w:p>
            <w:pPr>
              <w:pStyle w:val="12"/>
              <w:jc w:val="center"/>
              <w:rPr>
                <w:rFonts w:hint="default"/>
                <w:b/>
                <w:lang w:val="en-US" w:eastAsia="zh-CN"/>
              </w:rPr>
            </w:pPr>
            <w:r>
              <w:rPr>
                <w:rFonts w:hint="eastAsia"/>
                <w:b/>
                <w:lang w:val="en-US" w:eastAsia="zh-CN"/>
              </w:rPr>
              <w:t>3</w:t>
            </w:r>
          </w:p>
        </w:tc>
        <w:tc>
          <w:tcPr>
            <w:tcW w:w="5279" w:type="dxa"/>
            <w:vAlign w:val="center"/>
          </w:tcPr>
          <w:p>
            <w:pPr>
              <w:pStyle w:val="12"/>
              <w:jc w:val="both"/>
              <w:rPr>
                <w:rFonts w:hint="eastAsia"/>
                <w:b/>
              </w:rPr>
            </w:pPr>
            <w:r>
              <w:rPr>
                <w:rFonts w:hint="eastAsia"/>
                <w:b/>
                <w:lang w:val="en-US" w:eastAsia="zh-CN"/>
              </w:rPr>
              <w:t>根据投标人售后服务内容（包含定期回访、定期检修、维护、质量保 证书）等情况，由评委进行评分：服务内容详细完整、可操作性强的 得 3 分；服务内容比较完整、可操作性较强的得 1.5 分；服务内容基本完整、可操作性一般的得 0.5 分；未提供的不得分。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1" w:type="dxa"/>
          </w:tcPr>
          <w:p>
            <w:pPr>
              <w:pStyle w:val="12"/>
              <w:jc w:val="both"/>
              <w:rPr>
                <w:rFonts w:hint="eastAsia"/>
                <w:b/>
                <w:lang w:val="en-US" w:eastAsia="zh-CN"/>
              </w:rPr>
            </w:pPr>
            <w:r>
              <w:rPr>
                <w:rFonts w:hint="eastAsia"/>
                <w:b/>
                <w:lang w:val="en-US" w:eastAsia="zh-CN"/>
              </w:rPr>
              <w:t xml:space="preserve">B9.无合同违约 </w:t>
            </w:r>
          </w:p>
          <w:p>
            <w:pPr>
              <w:pStyle w:val="12"/>
              <w:jc w:val="both"/>
              <w:rPr>
                <w:rFonts w:hint="eastAsia"/>
                <w:b/>
                <w:lang w:val="en-US" w:eastAsia="zh-CN"/>
              </w:rPr>
            </w:pPr>
            <w:r>
              <w:rPr>
                <w:rFonts w:hint="eastAsia"/>
                <w:b/>
                <w:lang w:val="en-US" w:eastAsia="zh-CN"/>
              </w:rPr>
              <w:t>行为承诺</w:t>
            </w:r>
          </w:p>
          <w:p>
            <w:pPr>
              <w:pStyle w:val="12"/>
              <w:jc w:val="both"/>
              <w:rPr>
                <w:rFonts w:hint="eastAsia"/>
                <w:b/>
                <w:lang w:val="en-US" w:eastAsia="zh-CN"/>
              </w:rPr>
            </w:pPr>
          </w:p>
        </w:tc>
        <w:tc>
          <w:tcPr>
            <w:tcW w:w="996" w:type="dxa"/>
            <w:vAlign w:val="center"/>
          </w:tcPr>
          <w:p>
            <w:pPr>
              <w:pStyle w:val="12"/>
              <w:jc w:val="center"/>
              <w:rPr>
                <w:rFonts w:hint="default"/>
                <w:b/>
                <w:lang w:val="en-US" w:eastAsia="zh-CN"/>
              </w:rPr>
            </w:pPr>
            <w:r>
              <w:rPr>
                <w:rFonts w:hint="eastAsia"/>
                <w:b/>
                <w:lang w:val="en-US" w:eastAsia="zh-CN"/>
              </w:rPr>
              <w:t>2</w:t>
            </w:r>
          </w:p>
        </w:tc>
        <w:tc>
          <w:tcPr>
            <w:tcW w:w="5279" w:type="dxa"/>
            <w:vAlign w:val="center"/>
          </w:tcPr>
          <w:p>
            <w:pPr>
              <w:pStyle w:val="12"/>
              <w:jc w:val="both"/>
              <w:rPr>
                <w:rFonts w:hint="eastAsia"/>
                <w:b/>
              </w:rPr>
            </w:pPr>
            <w:r>
              <w:rPr>
                <w:rFonts w:hint="eastAsia"/>
                <w:b/>
                <w:lang w:val="en-US" w:eastAsia="zh-CN"/>
              </w:rPr>
              <w:t>投标人自 2021 年 1 月以来在经营活动中无合同违约行为（涉及资格要求中“重大违法记录”的情形除外）的得 2 分， 投标人须提供承诺函并加盖投标人公章，否则不得分。</w:t>
            </w:r>
          </w:p>
        </w:tc>
      </w:tr>
    </w:tbl>
    <w:p>
      <w:pPr>
        <w:pStyle w:val="12"/>
        <w:jc w:val="both"/>
      </w:pPr>
      <w:r>
        <w:rPr>
          <w:b/>
        </w:rPr>
        <w:t>加分项（F4×A4）</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322"/>
        <w:gridCol w:w="831"/>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3322" w:type="dxa"/>
          </w:tcPr>
          <w:p>
            <w:pPr>
              <w:pStyle w:val="12"/>
              <w:jc w:val="both"/>
            </w:pPr>
            <w:r>
              <w:rPr>
                <w:b/>
              </w:rPr>
              <w:t>项目</w:t>
            </w:r>
          </w:p>
        </w:tc>
        <w:tc>
          <w:tcPr>
            <w:tcW w:w="831" w:type="dxa"/>
          </w:tcPr>
          <w:p>
            <w:pPr>
              <w:pStyle w:val="12"/>
              <w:jc w:val="both"/>
            </w:pPr>
            <w:r>
              <w:rPr>
                <w:b/>
              </w:rPr>
              <w:t>分值</w:t>
            </w:r>
          </w:p>
        </w:tc>
        <w:tc>
          <w:tcPr>
            <w:tcW w:w="4153" w:type="dxa"/>
          </w:tcPr>
          <w:p>
            <w:pPr>
              <w:pStyle w:val="12"/>
              <w:jc w:val="both"/>
            </w:pPr>
            <w:r>
              <w:rPr>
                <w:b/>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322" w:type="dxa"/>
          </w:tcPr>
          <w:p>
            <w:pPr>
              <w:pStyle w:val="12"/>
              <w:jc w:val="both"/>
            </w:pPr>
            <w:r>
              <w:rPr>
                <w:b/>
              </w:rPr>
              <w:t>节能、环境标志产品</w:t>
            </w:r>
          </w:p>
        </w:tc>
        <w:tc>
          <w:tcPr>
            <w:tcW w:w="831" w:type="dxa"/>
          </w:tcPr>
          <w:p>
            <w:pPr>
              <w:pStyle w:val="12"/>
              <w:jc w:val="right"/>
              <w:rPr>
                <w:rFonts w:hint="default" w:eastAsiaTheme="minorEastAsia"/>
                <w:lang w:val="en-US" w:eastAsia="zh-CN"/>
              </w:rPr>
            </w:pPr>
            <w:r>
              <w:rPr>
                <w:b/>
              </w:rPr>
              <w:t>6.</w:t>
            </w:r>
            <w:r>
              <w:rPr>
                <w:rFonts w:hint="eastAsia"/>
                <w:b/>
                <w:lang w:val="en-US" w:eastAsia="zh-CN"/>
              </w:rPr>
              <w:t>64</w:t>
            </w:r>
          </w:p>
        </w:tc>
        <w:tc>
          <w:tcPr>
            <w:tcW w:w="4153" w:type="dxa"/>
          </w:tcPr>
          <w:p>
            <w:pPr>
              <w:pStyle w:val="12"/>
              <w:jc w:val="both"/>
            </w:pPr>
            <w:r>
              <w:rPr>
                <w:b/>
              </w:rPr>
              <w:t>1、投标产品属于节能（非强制类）、环境标志产品清单内产品的将给予相应评标项总分值一定幅度的加分。具体优惠幅度如下：（1）同一合同包内的节能（非强制类）、环境标志产品各报价总金额占本合同包报价总金额 20%（含20%）以下，价格评标项：价格评标项标准总分值4%的加分；技术评标项：技术评标项标准总分值4%的加分。（2）同一合同包内的节能（非强制类）、环境标志产品各报价总金额占本合同包报价总金额在20%-50%（含50%）之间的，价格评标项：价格评标项标准总分值6%的加分；技术评标项：技术评标项标准总分值6%的加分。（3）同一合同包内的节能（非强制类）、环境标志产品各报价总金额占本合同包报价总金额50%以上的，价格评标项：价格评标项标准总分值8%的加分；技术评标项：技术评标项标准总分值8%的加分。2、投标人在投标时必须对属于节能、环境标志产品单独在节能（非强制类）、环境标志产品统计表中填写，并提供产品的证明资料复印件并附在报价部分(电子证明资料应上传在对应评分模块)且加盖投标人公章。未单独分项报价或未按规定提供产品的证明资料的不给予加分。3、同一品目中各认证证书不重复计算加分。4、根据闽财购[2010]28号文规定，若节能、环境标志清单内的产品仅是构成投标产品的部件、组件或零件的，则该投标产品不享受鼓励优惠政策。</w:t>
            </w:r>
          </w:p>
        </w:tc>
      </w:tr>
    </w:tbl>
    <w:p>
      <w:pPr>
        <w:pStyle w:val="12"/>
        <w:jc w:val="both"/>
      </w:pPr>
      <w:r>
        <w:rPr>
          <w:b/>
        </w:rPr>
        <w:t>（4）中标候选人排列规则顺序如下：</w:t>
      </w:r>
    </w:p>
    <w:p>
      <w:pPr>
        <w:pStyle w:val="12"/>
        <w:jc w:val="both"/>
      </w:pPr>
      <w:r>
        <w:rPr>
          <w:b/>
        </w:rPr>
        <w:t>a.按照评标总得分（FA）由高到低顺序排列。</w:t>
      </w:r>
    </w:p>
    <w:p>
      <w:pPr>
        <w:pStyle w:val="12"/>
        <w:jc w:val="both"/>
      </w:pPr>
      <w:r>
        <w:rPr>
          <w:b/>
        </w:rPr>
        <w:t>b.评标总得分（FA）相同的，按照评标价（即价格扣除后的投标报价）由低到高顺序排列。</w:t>
      </w:r>
    </w:p>
    <w:p>
      <w:pPr>
        <w:pStyle w:val="12"/>
        <w:jc w:val="both"/>
      </w:pPr>
      <w:r>
        <w:rPr>
          <w:b/>
        </w:rPr>
        <w:t>c.评标总得分（FA）且评标价（即价格扣除后的投标报价）相同的并列。</w:t>
      </w:r>
    </w:p>
    <w:p>
      <w:pPr>
        <w:pStyle w:val="12"/>
        <w:ind w:firstLine="480"/>
        <w:jc w:val="both"/>
      </w:pPr>
      <w:r>
        <w:rPr>
          <w:b/>
        </w:rPr>
        <w:t>8、其他规定</w:t>
      </w:r>
    </w:p>
    <w:p>
      <w:pPr>
        <w:pStyle w:val="12"/>
        <w:ind w:firstLine="480"/>
        <w:jc w:val="both"/>
      </w:pPr>
      <w:r>
        <w:rPr>
          <w:b/>
        </w:rPr>
        <w:t>8.1评标应全程保密且不得透露给任一投标人或与评标工作无关的人员。</w:t>
      </w:r>
    </w:p>
    <w:p>
      <w:pPr>
        <w:pStyle w:val="12"/>
        <w:ind w:firstLine="480"/>
        <w:jc w:val="both"/>
      </w:pPr>
      <w:r>
        <w:rPr>
          <w:b/>
        </w:rPr>
        <w:t>8.2评标将进行全程实时录音录像，录音录像资料随采购文件一并存档。</w:t>
      </w:r>
    </w:p>
    <w:p>
      <w:pPr>
        <w:pStyle w:val="12"/>
        <w:ind w:firstLine="480"/>
        <w:jc w:val="both"/>
      </w:pPr>
      <w:r>
        <w:rPr>
          <w:b/>
        </w:rPr>
        <w:t>8.3若投标人有任何试图干扰具体评标事务，影响评标委员会独立履行职责的行为，其投标无效且不予退还投标保证金或通过投标保函进行索赔。情节严重的，由财政部门列入不良行为记录。</w:t>
      </w:r>
    </w:p>
    <w:p>
      <w:pPr>
        <w:pStyle w:val="12"/>
        <w:ind w:firstLine="480"/>
        <w:jc w:val="both"/>
      </w:pPr>
      <w:r>
        <w:rPr>
          <w:b/>
        </w:rPr>
        <w:t>8.4其他：</w:t>
      </w:r>
    </w:p>
    <w:p>
      <w:pPr>
        <w:pStyle w:val="12"/>
        <w:ind w:firstLine="480"/>
        <w:jc w:val="both"/>
      </w:pPr>
    </w:p>
    <w:p>
      <w:pPr>
        <w:pStyle w:val="12"/>
        <w:jc w:val="both"/>
      </w:pPr>
      <w:r>
        <w:rPr>
          <w:b/>
        </w:rPr>
        <w:t>无</w:t>
      </w:r>
    </w:p>
    <w:p>
      <w:pPr>
        <w:pStyle w:val="12"/>
        <w:jc w:val="both"/>
      </w:pPr>
    </w:p>
    <w:p>
      <w:pPr>
        <w:pStyle w:val="12"/>
        <w:jc w:val="both"/>
      </w:pPr>
      <w:r>
        <w:rPr>
          <w:b/>
        </w:rPr>
        <w:t xml:space="preserve"> </w:t>
      </w:r>
    </w:p>
    <w:p>
      <w:pPr>
        <w:pStyle w:val="12"/>
        <w:jc w:val="center"/>
        <w:outlineLvl w:val="1"/>
      </w:pPr>
      <w:r>
        <w:rPr>
          <w:b/>
          <w:sz w:val="36"/>
        </w:rPr>
        <w:t>第五章 招标内容及要求</w:t>
      </w:r>
    </w:p>
    <w:p>
      <w:pPr>
        <w:pStyle w:val="12"/>
        <w:jc w:val="both"/>
        <w:outlineLvl w:val="2"/>
      </w:pPr>
      <w:r>
        <w:rPr>
          <w:b/>
          <w:sz w:val="28"/>
        </w:rPr>
        <w:t>一、项目概况（采购标的）</w:t>
      </w:r>
    </w:p>
    <w:p>
      <w:pPr>
        <w:pStyle w:val="12"/>
        <w:ind w:firstLine="480"/>
        <w:jc w:val="both"/>
        <w:rPr>
          <w:rFonts w:hint="eastAsia"/>
          <w:lang w:val="en-US" w:eastAsia="zh-CN"/>
        </w:rPr>
      </w:pPr>
      <w:r>
        <w:rPr>
          <w:rFonts w:hint="eastAsia"/>
          <w:lang w:val="en-US" w:eastAsia="zh-CN"/>
        </w:rPr>
        <w:t>1.1、项目名称：寿宁县下党乡下党村智慧农业产业园改造提升工艺设备系统采购项目</w:t>
      </w:r>
    </w:p>
    <w:p>
      <w:pPr>
        <w:pStyle w:val="12"/>
        <w:ind w:firstLine="480"/>
        <w:jc w:val="both"/>
        <w:rPr>
          <w:rFonts w:hint="default"/>
          <w:lang w:val="en-US" w:eastAsia="zh-CN"/>
        </w:rPr>
      </w:pPr>
      <w:r>
        <w:rPr>
          <w:rFonts w:hint="default"/>
          <w:lang w:val="en-US" w:eastAsia="zh-CN"/>
        </w:rPr>
        <w:t>投标人必须保证提供的所有产品具有在中国境内的合法使用权和用户保护权且为全新原 装品 牌产品，若投标人所投产品国家有强制性要求认证的，则投标人应提供通过认证的产品进行投标。投标人所提供的服务应符合国家相关法律法规，软件必须是正版的合法的产品。如因产品违反国家相关规定而产生的纠纷和责任，均由投标人负全责。若因此给采购人造成损失的，投标人还要负赔偿责任。</w:t>
      </w:r>
    </w:p>
    <w:p>
      <w:pPr>
        <w:pStyle w:val="12"/>
        <w:jc w:val="both"/>
      </w:pPr>
    </w:p>
    <w:p>
      <w:pPr>
        <w:pStyle w:val="12"/>
        <w:ind w:firstLine="480"/>
        <w:jc w:val="left"/>
        <w:rPr>
          <w:color w:val="0000FF"/>
          <w:highlight w:val="none"/>
        </w:rPr>
      </w:pPr>
      <w:r>
        <w:rPr>
          <w:rFonts w:ascii="宋体" w:hAnsi="宋体" w:eastAsia="宋体" w:cs="宋体"/>
          <w:b/>
          <w:color w:val="0000FF"/>
          <w:sz w:val="24"/>
        </w:rPr>
        <w:t>1.2、采购代理机构及采购人不组织现场实地勘察，潜在投标人应投标截止前自行勘察安装现场（联系人：</w:t>
      </w:r>
      <w:r>
        <w:rPr>
          <w:rFonts w:hint="eastAsia" w:ascii="宋体" w:hAnsi="宋体" w:eastAsia="宋体" w:cs="宋体"/>
          <w:b/>
          <w:color w:val="0000FF"/>
          <w:sz w:val="24"/>
          <w:lang w:val="en-US" w:eastAsia="zh-CN"/>
        </w:rPr>
        <w:t>许</w:t>
      </w:r>
      <w:r>
        <w:rPr>
          <w:rFonts w:ascii="宋体" w:hAnsi="宋体" w:eastAsia="宋体" w:cs="宋体"/>
          <w:b/>
          <w:color w:val="0000FF"/>
          <w:sz w:val="24"/>
        </w:rPr>
        <w:t>先生，联系方式</w:t>
      </w:r>
      <w:r>
        <w:rPr>
          <w:rFonts w:hint="eastAsia" w:ascii="宋体" w:hAnsi="宋体" w:eastAsia="宋体" w:cs="宋体"/>
          <w:b/>
          <w:color w:val="0000FF"/>
          <w:sz w:val="24"/>
        </w:rPr>
        <w:t>19959332628</w:t>
      </w:r>
      <w:r>
        <w:rPr>
          <w:rFonts w:ascii="宋体" w:hAnsi="宋体" w:eastAsia="宋体" w:cs="宋体"/>
          <w:b/>
          <w:color w:val="0000FF"/>
          <w:sz w:val="24"/>
        </w:rPr>
        <w:t>），设备应安装在采购人指定的地点，需充分考虑安装室内外机的施工间距、安装所需辅材、配件（含空调冷媒管道等辅材）、设备安装位置、以及投标人认为的其他有必要的费用等事项，须确保安装一次性到位，满足使用功能</w:t>
      </w:r>
      <w:r>
        <w:rPr>
          <w:rFonts w:ascii="宋体" w:hAnsi="宋体" w:eastAsia="宋体" w:cs="宋体"/>
          <w:b/>
          <w:color w:val="0000FF"/>
          <w:sz w:val="24"/>
          <w:highlight w:val="none"/>
        </w:rPr>
        <w:t>，上述所有费用全部包含在此次投标总价中，采购单位不另行支付其他安装及相关费用；投标人需保证施工结束后所有开口做好密封及防火、防水、防盗处理，针对此项要求，投标人须在投标文件技术部分中提供专项承诺函，否则投标无效。</w:t>
      </w:r>
    </w:p>
    <w:p>
      <w:pPr>
        <w:pStyle w:val="12"/>
        <w:ind w:firstLine="480"/>
        <w:jc w:val="left"/>
        <w:rPr>
          <w:color w:val="0000FF"/>
        </w:rPr>
      </w:pPr>
      <w:r>
        <w:rPr>
          <w:rFonts w:ascii="宋体" w:hAnsi="宋体" w:eastAsia="宋体" w:cs="宋体"/>
          <w:b/>
          <w:color w:val="0000FF"/>
          <w:sz w:val="24"/>
        </w:rPr>
        <w:t>1.3、空调系统设计应符合以下规范：</w:t>
      </w:r>
    </w:p>
    <w:p>
      <w:pPr>
        <w:pStyle w:val="12"/>
        <w:ind w:firstLine="480"/>
        <w:jc w:val="both"/>
        <w:rPr>
          <w:color w:val="0000FF"/>
        </w:rPr>
      </w:pPr>
      <w:r>
        <w:rPr>
          <w:rFonts w:ascii="宋体" w:hAnsi="宋体" w:eastAsia="宋体" w:cs="宋体"/>
          <w:b/>
          <w:color w:val="0000FF"/>
          <w:sz w:val="24"/>
        </w:rPr>
        <w:t>GB/T1.1-2009《标准化工作导则 第1部分:标准的结构和编写》</w:t>
      </w:r>
    </w:p>
    <w:p>
      <w:pPr>
        <w:pStyle w:val="12"/>
        <w:ind w:firstLine="480"/>
        <w:jc w:val="both"/>
        <w:rPr>
          <w:color w:val="0000FF"/>
        </w:rPr>
      </w:pPr>
      <w:r>
        <w:rPr>
          <w:rFonts w:ascii="宋体" w:hAnsi="宋体" w:eastAsia="宋体" w:cs="宋体"/>
          <w:b/>
          <w:color w:val="0000FF"/>
          <w:sz w:val="24"/>
        </w:rPr>
        <w:t>GB/T 18883-2002《室内空气质量标准》</w:t>
      </w:r>
    </w:p>
    <w:p>
      <w:pPr>
        <w:pStyle w:val="12"/>
        <w:ind w:firstLine="480"/>
        <w:jc w:val="both"/>
        <w:rPr>
          <w:rFonts w:ascii="宋体" w:hAnsi="宋体" w:eastAsia="宋体" w:cs="宋体"/>
          <w:b/>
          <w:color w:val="0000FF"/>
          <w:sz w:val="24"/>
        </w:rPr>
      </w:pPr>
      <w:r>
        <w:rPr>
          <w:rFonts w:ascii="宋体" w:hAnsi="宋体" w:eastAsia="宋体" w:cs="宋体"/>
          <w:b/>
          <w:color w:val="0000FF"/>
          <w:sz w:val="24"/>
        </w:rPr>
        <w:t>GB 50189-2015《公共建筑节能设计标准》</w:t>
      </w:r>
    </w:p>
    <w:p>
      <w:pPr>
        <w:pStyle w:val="12"/>
        <w:ind w:firstLine="480"/>
        <w:jc w:val="both"/>
        <w:rPr>
          <w:rFonts w:ascii="宋体" w:hAnsi="宋体" w:eastAsia="宋体" w:cs="宋体"/>
          <w:b/>
          <w:color w:val="0000FF"/>
          <w:sz w:val="24"/>
        </w:rPr>
      </w:pPr>
    </w:p>
    <w:p>
      <w:pPr>
        <w:pStyle w:val="12"/>
        <w:ind w:firstLine="480"/>
        <w:jc w:val="both"/>
        <w:rPr>
          <w:rFonts w:ascii="宋体" w:hAnsi="宋体" w:eastAsia="宋体" w:cs="宋体"/>
          <w:b/>
          <w:color w:val="0000FF"/>
          <w:sz w:val="24"/>
        </w:rPr>
      </w:pPr>
    </w:p>
    <w:p>
      <w:pPr>
        <w:pStyle w:val="12"/>
        <w:ind w:firstLine="480"/>
        <w:jc w:val="both"/>
        <w:outlineLvl w:val="2"/>
        <w:rPr>
          <w:color w:val="0000FF"/>
        </w:rPr>
      </w:pPr>
      <w:r>
        <w:rPr>
          <w:b/>
          <w:color w:val="0000FF"/>
          <w:sz w:val="28"/>
        </w:rPr>
        <w:t>二、技术和服务要求（以“★”标示的内容为不允许负偏离的实质性要求）</w:t>
      </w:r>
    </w:p>
    <w:p>
      <w:pPr>
        <w:pStyle w:val="12"/>
        <w:spacing w:before="75" w:after="75"/>
        <w:ind w:firstLine="480"/>
        <w:rPr>
          <w:rFonts w:hint="default" w:ascii="宋体" w:hAnsi="宋体" w:eastAsia="宋体" w:cs="宋体"/>
          <w:b/>
          <w:color w:val="0000FF"/>
          <w:sz w:val="24"/>
        </w:rPr>
      </w:pPr>
      <w:r>
        <w:rPr>
          <w:rFonts w:hint="eastAsia" w:ascii="宋体" w:hAnsi="宋体" w:eastAsia="宋体" w:cs="宋体"/>
          <w:b/>
          <w:color w:val="0000FF"/>
          <w:sz w:val="24"/>
          <w:lang w:val="en-US" w:eastAsia="zh-CN"/>
        </w:rPr>
        <w:t>1、</w:t>
      </w:r>
      <w:r>
        <w:rPr>
          <w:rFonts w:ascii="宋体" w:hAnsi="宋体" w:eastAsia="宋体" w:cs="宋体"/>
          <w:b/>
          <w:color w:val="0000FF"/>
          <w:sz w:val="24"/>
          <w:lang w:eastAsia="zh-CN"/>
        </w:rPr>
        <w:t>工艺设备系统</w:t>
      </w:r>
      <w:r>
        <w:rPr>
          <w:rFonts w:ascii="宋体" w:hAnsi="宋体" w:eastAsia="宋体" w:cs="宋体"/>
          <w:b/>
          <w:color w:val="0000FF"/>
          <w:sz w:val="24"/>
        </w:rPr>
        <w:t>技术要求：</w:t>
      </w:r>
    </w:p>
    <w:p>
      <w:pPr>
        <w:spacing w:line="360" w:lineRule="auto"/>
        <w:ind w:firstLine="420"/>
        <w:rPr>
          <w:rFonts w:ascii="宋体" w:hAnsi="宋体" w:cs="宋体"/>
          <w:b/>
          <w:color w:val="0000FF"/>
          <w:sz w:val="24"/>
        </w:rPr>
      </w:pPr>
      <w:r>
        <w:rPr>
          <w:rFonts w:hint="eastAsia" w:ascii="宋体" w:hAnsi="宋体" w:cs="宋体"/>
          <w:b/>
          <w:color w:val="0000FF"/>
          <w:sz w:val="24"/>
          <w:lang w:val="en-US" w:eastAsia="zh-CN"/>
        </w:rPr>
        <w:t>1.</w:t>
      </w:r>
      <w:r>
        <w:rPr>
          <w:rFonts w:ascii="宋体" w:hAnsi="宋体" w:cs="宋体"/>
          <w:b/>
          <w:color w:val="0000FF"/>
          <w:sz w:val="24"/>
        </w:rPr>
        <w:t>1 总体要求</w:t>
      </w:r>
    </w:p>
    <w:p>
      <w:pPr>
        <w:spacing w:line="360" w:lineRule="auto"/>
        <w:ind w:firstLine="420"/>
        <w:rPr>
          <w:color w:val="0000FF"/>
          <w:sz w:val="24"/>
        </w:rPr>
      </w:pPr>
      <w:r>
        <w:rPr>
          <w:rFonts w:hint="eastAsia"/>
          <w:color w:val="0000FF"/>
          <w:sz w:val="24"/>
        </w:rPr>
        <w:t>工艺设备系统主要包括恒温恒湿制冷系统、冷藏库、保鲜库、菇架、银耳初加工系统、包装系统、菌筐和包装车间与银耳初加工车间中央空调。</w:t>
      </w:r>
    </w:p>
    <w:p>
      <w:pPr>
        <w:spacing w:line="360" w:lineRule="auto"/>
        <w:ind w:firstLine="420"/>
        <w:rPr>
          <w:color w:val="0000FF"/>
          <w:sz w:val="24"/>
        </w:rPr>
      </w:pPr>
      <w:r>
        <w:rPr>
          <w:rFonts w:hint="eastAsia"/>
          <w:color w:val="0000FF"/>
          <w:sz w:val="24"/>
        </w:rPr>
        <w:t>★投标方需提供工艺设备系统总体方案；</w:t>
      </w:r>
    </w:p>
    <w:p>
      <w:pPr>
        <w:spacing w:line="360" w:lineRule="auto"/>
        <w:ind w:firstLine="420"/>
        <w:rPr>
          <w:color w:val="0000FF"/>
          <w:sz w:val="24"/>
        </w:rPr>
      </w:pPr>
      <w:r>
        <w:rPr>
          <w:rFonts w:hint="eastAsia"/>
          <w:color w:val="0000FF"/>
          <w:sz w:val="24"/>
        </w:rPr>
        <w:t>★投标方需提供完整设备布局图；</w:t>
      </w:r>
    </w:p>
    <w:p>
      <w:pPr>
        <w:spacing w:line="360" w:lineRule="auto"/>
        <w:ind w:firstLine="420"/>
        <w:rPr>
          <w:color w:val="0000FF"/>
          <w:sz w:val="24"/>
        </w:rPr>
      </w:pPr>
      <w:r>
        <w:rPr>
          <w:rFonts w:hint="eastAsia"/>
          <w:color w:val="0000FF"/>
          <w:sz w:val="24"/>
        </w:rPr>
        <w:t>★投标方提供的恒温恒湿系统、冷藏库、保鲜库及烘干设备需具备远程监控功能，可在远端控制器上监控设备运行状态，投标方需给出监控方案</w:t>
      </w:r>
    </w:p>
    <w:p>
      <w:pPr>
        <w:pStyle w:val="12"/>
        <w:spacing w:before="75" w:after="75"/>
        <w:ind w:left="480"/>
        <w:rPr>
          <w:rFonts w:hint="default" w:ascii="宋体" w:hAnsi="宋体" w:eastAsia="宋体" w:cs="宋体"/>
          <w:b/>
          <w:color w:val="0000FF"/>
          <w:sz w:val="24"/>
          <w:lang w:eastAsia="zh-CN"/>
        </w:rPr>
      </w:pPr>
      <w:r>
        <w:rPr>
          <w:rFonts w:hint="eastAsia" w:ascii="宋体" w:hAnsi="宋体" w:eastAsia="宋体" w:cs="宋体"/>
          <w:b/>
          <w:color w:val="0000FF"/>
          <w:sz w:val="24"/>
          <w:lang w:val="en-US" w:eastAsia="zh-CN"/>
        </w:rPr>
        <w:t>1.</w:t>
      </w:r>
      <w:r>
        <w:rPr>
          <w:rFonts w:hint="default" w:ascii="宋体" w:hAnsi="宋体" w:eastAsia="宋体" w:cs="宋体"/>
          <w:b/>
          <w:color w:val="0000FF"/>
          <w:sz w:val="24"/>
          <w:lang w:eastAsia="zh-CN"/>
        </w:rPr>
        <w:t>2</w:t>
      </w:r>
      <w:r>
        <w:rPr>
          <w:rFonts w:ascii="宋体" w:hAnsi="宋体" w:eastAsia="宋体" w:cs="宋体"/>
          <w:b/>
          <w:color w:val="0000FF"/>
          <w:sz w:val="24"/>
          <w:lang w:eastAsia="zh-CN"/>
        </w:rPr>
        <w:t>分系统要求</w:t>
      </w:r>
    </w:p>
    <w:p>
      <w:pPr>
        <w:numPr>
          <w:ilvl w:val="0"/>
          <w:numId w:val="1"/>
        </w:numPr>
        <w:spacing w:line="360" w:lineRule="auto"/>
        <w:rPr>
          <w:color w:val="0000FF"/>
          <w:sz w:val="24"/>
        </w:rPr>
      </w:pPr>
      <w:r>
        <w:rPr>
          <w:rFonts w:hint="eastAsia"/>
          <w:color w:val="0000FF"/>
          <w:sz w:val="24"/>
        </w:rPr>
        <w:t>恒温恒湿制冷系统参数要求</w:t>
      </w:r>
    </w:p>
    <w:p>
      <w:pPr>
        <w:pStyle w:val="12"/>
        <w:spacing w:before="75" w:after="75"/>
        <w:rPr>
          <w:rFonts w:hint="default"/>
          <w:color w:val="0000FF"/>
          <w:sz w:val="24"/>
          <w:szCs w:val="24"/>
        </w:rPr>
      </w:pPr>
      <w:r>
        <w:rPr>
          <w:color w:val="0000FF"/>
          <w:sz w:val="24"/>
          <w:szCs w:val="24"/>
        </w:rPr>
        <w:t>（</w:t>
      </w:r>
      <w:r>
        <w:rPr>
          <w:color w:val="0000FF"/>
          <w:sz w:val="24"/>
          <w:szCs w:val="24"/>
          <w:lang w:eastAsia="zh-CN"/>
        </w:rPr>
        <w:t>a</w:t>
      </w:r>
      <w:r>
        <w:rPr>
          <w:color w:val="0000FF"/>
          <w:sz w:val="24"/>
          <w:szCs w:val="24"/>
        </w:rPr>
        <w:t>）银耳育菇</w:t>
      </w:r>
      <w:r>
        <w:rPr>
          <w:color w:val="0000FF"/>
          <w:sz w:val="24"/>
          <w:szCs w:val="24"/>
          <w:lang w:eastAsia="zh-CN"/>
        </w:rPr>
        <w:t>恒温恒湿制冷系统</w:t>
      </w:r>
      <w:r>
        <w:rPr>
          <w:color w:val="0000FF"/>
          <w:sz w:val="24"/>
          <w:szCs w:val="24"/>
        </w:rPr>
        <w:t xml:space="preserve">生产参数要求 </w:t>
      </w:r>
    </w:p>
    <w:p>
      <w:pPr>
        <w:spacing w:line="360" w:lineRule="auto"/>
        <w:ind w:firstLine="420"/>
        <w:rPr>
          <w:color w:val="0000FF"/>
          <w:sz w:val="24"/>
        </w:rPr>
      </w:pPr>
      <w:r>
        <w:rPr>
          <w:rFonts w:hint="eastAsia"/>
          <w:color w:val="0000FF"/>
          <w:sz w:val="24"/>
        </w:rPr>
        <w:t>1、室内温度：最低温度18度，最高温度28度，冬天加热温度23度；</w:t>
      </w:r>
    </w:p>
    <w:p>
      <w:pPr>
        <w:spacing w:line="360" w:lineRule="auto"/>
        <w:ind w:firstLine="420"/>
        <w:rPr>
          <w:color w:val="0000FF"/>
          <w:sz w:val="24"/>
        </w:rPr>
      </w:pPr>
      <w:r>
        <w:rPr>
          <w:rFonts w:hint="eastAsia"/>
          <w:color w:val="0000FF"/>
          <w:sz w:val="24"/>
        </w:rPr>
        <w:t>2、室内湿度：60--95%，根据生产阶段的要求，加湿器要达到，超声波加湿器在加湿时要求带细微水珠（颗粒1微米至10微米）；</w:t>
      </w:r>
    </w:p>
    <w:p>
      <w:pPr>
        <w:spacing w:line="360" w:lineRule="auto"/>
        <w:ind w:firstLine="420"/>
        <w:rPr>
          <w:color w:val="0000FF"/>
          <w:sz w:val="24"/>
        </w:rPr>
      </w:pPr>
      <w:r>
        <w:rPr>
          <w:rFonts w:hint="eastAsia"/>
          <w:color w:val="0000FF"/>
          <w:sz w:val="24"/>
        </w:rPr>
        <w:t>3、二氧化碳1500 CO2；</w:t>
      </w:r>
    </w:p>
    <w:p>
      <w:pPr>
        <w:spacing w:line="360" w:lineRule="auto"/>
        <w:ind w:firstLine="420"/>
        <w:rPr>
          <w:color w:val="0000FF"/>
          <w:sz w:val="24"/>
        </w:rPr>
      </w:pPr>
      <w:r>
        <w:rPr>
          <w:rFonts w:hint="eastAsia"/>
          <w:color w:val="0000FF"/>
          <w:sz w:val="24"/>
        </w:rPr>
        <w:t>4、光照度：500LUX，按育菇阶段必须可以调节光暗度；</w:t>
      </w:r>
    </w:p>
    <w:p>
      <w:pPr>
        <w:spacing w:line="360" w:lineRule="auto"/>
        <w:ind w:firstLine="420"/>
        <w:rPr>
          <w:color w:val="0000FF"/>
          <w:sz w:val="24"/>
        </w:rPr>
      </w:pPr>
      <w:r>
        <w:rPr>
          <w:rFonts w:hint="eastAsia"/>
          <w:color w:val="0000FF"/>
          <w:sz w:val="24"/>
        </w:rPr>
        <w:t>★5、清风量：按育菇阶段需要在1小时内调节到6000m3/h。</w:t>
      </w:r>
    </w:p>
    <w:p>
      <w:pPr>
        <w:pStyle w:val="12"/>
        <w:spacing w:before="75" w:after="75"/>
        <w:rPr>
          <w:rFonts w:hint="default"/>
          <w:color w:val="0000FF"/>
          <w:sz w:val="24"/>
          <w:szCs w:val="24"/>
        </w:rPr>
      </w:pPr>
      <w:r>
        <w:rPr>
          <w:color w:val="0000FF"/>
          <w:sz w:val="24"/>
          <w:szCs w:val="24"/>
        </w:rPr>
        <w:t>（</w:t>
      </w:r>
      <w:r>
        <w:rPr>
          <w:color w:val="0000FF"/>
          <w:sz w:val="24"/>
          <w:szCs w:val="24"/>
          <w:lang w:eastAsia="zh-CN"/>
        </w:rPr>
        <w:t>b</w:t>
      </w:r>
      <w:r>
        <w:rPr>
          <w:color w:val="0000FF"/>
          <w:sz w:val="24"/>
          <w:szCs w:val="24"/>
        </w:rPr>
        <w:t>）茶树菇育菇</w:t>
      </w:r>
      <w:r>
        <w:rPr>
          <w:color w:val="0000FF"/>
          <w:sz w:val="24"/>
          <w:szCs w:val="24"/>
          <w:lang w:eastAsia="zh-CN"/>
        </w:rPr>
        <w:t>恒温恒湿制冷系统</w:t>
      </w:r>
      <w:r>
        <w:rPr>
          <w:color w:val="0000FF"/>
          <w:sz w:val="24"/>
          <w:szCs w:val="24"/>
        </w:rPr>
        <w:t>生产参数要求</w:t>
      </w:r>
    </w:p>
    <w:p>
      <w:pPr>
        <w:spacing w:line="360" w:lineRule="auto"/>
        <w:ind w:firstLine="420"/>
        <w:rPr>
          <w:color w:val="0000FF"/>
          <w:sz w:val="24"/>
        </w:rPr>
      </w:pPr>
      <w:r>
        <w:rPr>
          <w:rFonts w:hint="eastAsia"/>
          <w:color w:val="0000FF"/>
          <w:sz w:val="24"/>
        </w:rPr>
        <w:t xml:space="preserve"> 1、室内温度：最低温度18度，最高温度25度，冬天加热温度23度；</w:t>
      </w:r>
    </w:p>
    <w:p>
      <w:pPr>
        <w:spacing w:line="360" w:lineRule="auto"/>
        <w:ind w:firstLine="420"/>
        <w:rPr>
          <w:color w:val="0000FF"/>
          <w:sz w:val="24"/>
        </w:rPr>
      </w:pPr>
      <w:r>
        <w:rPr>
          <w:rFonts w:hint="eastAsia"/>
          <w:color w:val="0000FF"/>
          <w:sz w:val="24"/>
        </w:rPr>
        <w:t>2、室内湿度：85---95%，按生产阶段技术员的要求，加湿器要达到，超声波加湿器在加湿时要求带细微水珠；</w:t>
      </w:r>
    </w:p>
    <w:p>
      <w:pPr>
        <w:spacing w:line="360" w:lineRule="auto"/>
        <w:ind w:firstLine="420"/>
        <w:rPr>
          <w:color w:val="0000FF"/>
          <w:sz w:val="24"/>
        </w:rPr>
      </w:pPr>
      <w:r>
        <w:rPr>
          <w:rFonts w:hint="eastAsia"/>
          <w:color w:val="0000FF"/>
          <w:sz w:val="24"/>
        </w:rPr>
        <w:t>3、二氧化碳1500 CO2左右；</w:t>
      </w:r>
    </w:p>
    <w:p>
      <w:pPr>
        <w:spacing w:line="360" w:lineRule="auto"/>
        <w:ind w:firstLine="420"/>
        <w:rPr>
          <w:color w:val="0000FF"/>
          <w:sz w:val="24"/>
        </w:rPr>
      </w:pPr>
      <w:r>
        <w:rPr>
          <w:rFonts w:hint="eastAsia"/>
          <w:color w:val="0000FF"/>
          <w:sz w:val="24"/>
        </w:rPr>
        <w:t>4、光照度：300LUX，按育菇阶段必须可以调节光暗度；</w:t>
      </w:r>
    </w:p>
    <w:p>
      <w:pPr>
        <w:spacing w:line="360" w:lineRule="auto"/>
        <w:ind w:firstLine="420"/>
        <w:rPr>
          <w:color w:val="0000FF"/>
          <w:sz w:val="24"/>
        </w:rPr>
      </w:pPr>
      <w:r>
        <w:rPr>
          <w:rFonts w:hint="eastAsia"/>
          <w:color w:val="0000FF"/>
          <w:sz w:val="24"/>
        </w:rPr>
        <w:t>★5、清风量：按育菇阶段需要在1小时内调节到8000m3/h--10000m3/h。</w:t>
      </w:r>
    </w:p>
    <w:p>
      <w:pPr>
        <w:pStyle w:val="12"/>
        <w:spacing w:before="75" w:after="75"/>
        <w:rPr>
          <w:rFonts w:hint="default"/>
          <w:color w:val="0000FF"/>
          <w:sz w:val="24"/>
          <w:szCs w:val="24"/>
        </w:rPr>
      </w:pPr>
      <w:r>
        <w:rPr>
          <w:color w:val="0000FF"/>
          <w:sz w:val="24"/>
          <w:szCs w:val="24"/>
        </w:rPr>
        <w:t>（</w:t>
      </w:r>
      <w:r>
        <w:rPr>
          <w:color w:val="0000FF"/>
          <w:sz w:val="24"/>
          <w:szCs w:val="24"/>
          <w:lang w:eastAsia="zh-CN"/>
        </w:rPr>
        <w:t>c</w:t>
      </w:r>
      <w:r>
        <w:rPr>
          <w:color w:val="0000FF"/>
          <w:sz w:val="24"/>
          <w:szCs w:val="24"/>
        </w:rPr>
        <w:t>）花菇育菇</w:t>
      </w:r>
      <w:r>
        <w:rPr>
          <w:color w:val="0000FF"/>
          <w:sz w:val="24"/>
          <w:szCs w:val="24"/>
          <w:lang w:eastAsia="zh-CN"/>
        </w:rPr>
        <w:t>恒温恒湿制冷系统</w:t>
      </w:r>
      <w:r>
        <w:rPr>
          <w:color w:val="0000FF"/>
          <w:sz w:val="24"/>
          <w:szCs w:val="24"/>
        </w:rPr>
        <w:t>生产参数要求</w:t>
      </w:r>
    </w:p>
    <w:p>
      <w:pPr>
        <w:spacing w:line="360" w:lineRule="auto"/>
        <w:ind w:firstLine="420"/>
        <w:rPr>
          <w:color w:val="0000FF"/>
          <w:sz w:val="24"/>
        </w:rPr>
      </w:pPr>
      <w:r>
        <w:rPr>
          <w:rFonts w:hint="eastAsia"/>
          <w:color w:val="0000FF"/>
          <w:sz w:val="24"/>
        </w:rPr>
        <w:t>1、室内温度：最低温度8度，最高温度26度，冬天加热温度22度；</w:t>
      </w:r>
    </w:p>
    <w:p>
      <w:pPr>
        <w:spacing w:line="360" w:lineRule="auto"/>
        <w:ind w:firstLine="420"/>
        <w:rPr>
          <w:color w:val="0000FF"/>
          <w:sz w:val="24"/>
        </w:rPr>
      </w:pPr>
      <w:r>
        <w:rPr>
          <w:rFonts w:hint="eastAsia"/>
          <w:color w:val="0000FF"/>
          <w:sz w:val="24"/>
        </w:rPr>
        <w:t>2、室内湿度：80---90%，按生产阶段技术员的要求，加湿器要达到，超声波加湿器在加湿时要求带细微水珠；</w:t>
      </w:r>
    </w:p>
    <w:p>
      <w:pPr>
        <w:spacing w:line="360" w:lineRule="auto"/>
        <w:ind w:firstLine="420"/>
        <w:rPr>
          <w:color w:val="0000FF"/>
          <w:sz w:val="24"/>
        </w:rPr>
      </w:pPr>
      <w:r>
        <w:rPr>
          <w:rFonts w:hint="eastAsia"/>
          <w:color w:val="0000FF"/>
          <w:sz w:val="24"/>
        </w:rPr>
        <w:t>3、二氧化碳3000CO2以下；</w:t>
      </w:r>
    </w:p>
    <w:p>
      <w:pPr>
        <w:spacing w:line="360" w:lineRule="auto"/>
        <w:ind w:firstLine="420"/>
        <w:rPr>
          <w:color w:val="0000FF"/>
          <w:sz w:val="24"/>
        </w:rPr>
      </w:pPr>
      <w:r>
        <w:rPr>
          <w:rFonts w:hint="eastAsia"/>
          <w:color w:val="0000FF"/>
          <w:sz w:val="24"/>
        </w:rPr>
        <w:t>4、光照度：50--300LUX，按育菇阶段必须可以调节光暗度；</w:t>
      </w:r>
    </w:p>
    <w:p>
      <w:pPr>
        <w:spacing w:line="360" w:lineRule="auto"/>
        <w:ind w:firstLine="420"/>
        <w:rPr>
          <w:color w:val="0000FF"/>
          <w:sz w:val="24"/>
        </w:rPr>
      </w:pPr>
      <w:r>
        <w:rPr>
          <w:rFonts w:hint="eastAsia"/>
          <w:color w:val="0000FF"/>
          <w:sz w:val="24"/>
        </w:rPr>
        <w:t>★5、清风量：按育菇阶段需要在1小时内调节到5000m3/h--10000m3/h；</w:t>
      </w:r>
    </w:p>
    <w:p>
      <w:pPr>
        <w:pStyle w:val="12"/>
        <w:spacing w:before="75" w:after="75"/>
        <w:rPr>
          <w:rFonts w:hint="default"/>
          <w:color w:val="0000FF"/>
          <w:sz w:val="24"/>
          <w:szCs w:val="24"/>
        </w:rPr>
      </w:pPr>
      <w:r>
        <w:rPr>
          <w:color w:val="0000FF"/>
          <w:sz w:val="24"/>
          <w:szCs w:val="24"/>
        </w:rPr>
        <w:t>（</w:t>
      </w:r>
      <w:r>
        <w:rPr>
          <w:color w:val="0000FF"/>
          <w:sz w:val="24"/>
          <w:szCs w:val="24"/>
          <w:lang w:eastAsia="zh-CN"/>
        </w:rPr>
        <w:t>d</w:t>
      </w:r>
      <w:r>
        <w:rPr>
          <w:color w:val="0000FF"/>
          <w:sz w:val="24"/>
          <w:szCs w:val="24"/>
        </w:rPr>
        <w:t>）</w:t>
      </w:r>
      <w:r>
        <w:rPr>
          <w:color w:val="0000FF"/>
          <w:sz w:val="24"/>
          <w:szCs w:val="24"/>
          <w:lang w:eastAsia="zh-CN"/>
        </w:rPr>
        <w:t>其他</w:t>
      </w:r>
      <w:r>
        <w:rPr>
          <w:color w:val="0000FF"/>
          <w:sz w:val="24"/>
          <w:szCs w:val="24"/>
        </w:rPr>
        <w:t>要求</w:t>
      </w:r>
    </w:p>
    <w:p>
      <w:pPr>
        <w:spacing w:line="360" w:lineRule="auto"/>
        <w:ind w:firstLine="420"/>
        <w:rPr>
          <w:color w:val="0000FF"/>
          <w:sz w:val="24"/>
        </w:rPr>
      </w:pPr>
      <w:r>
        <w:rPr>
          <w:rFonts w:hint="eastAsia"/>
          <w:color w:val="0000FF"/>
          <w:sz w:val="24"/>
        </w:rPr>
        <w:t>1、</w:t>
      </w:r>
      <w:r>
        <w:rPr>
          <w:rFonts w:hint="eastAsia"/>
          <w:color w:val="0000FF"/>
          <w:sz w:val="24"/>
          <w:highlight w:val="yellow"/>
        </w:rPr>
        <w:t>全年换新风过程中，室内温度需维持18--22度。</w:t>
      </w:r>
    </w:p>
    <w:p>
      <w:pPr>
        <w:spacing w:line="360" w:lineRule="auto"/>
        <w:ind w:firstLine="420"/>
        <w:rPr>
          <w:color w:val="0000FF"/>
          <w:sz w:val="24"/>
        </w:rPr>
      </w:pPr>
      <w:r>
        <w:rPr>
          <w:rFonts w:hint="eastAsia"/>
          <w:color w:val="0000FF"/>
          <w:sz w:val="24"/>
        </w:rPr>
        <w:t>2、菇房顶部设置送风道，投标方需提供风道布局图。</w:t>
      </w:r>
    </w:p>
    <w:p>
      <w:pPr>
        <w:spacing w:line="360" w:lineRule="auto"/>
        <w:ind w:firstLine="420"/>
        <w:rPr>
          <w:color w:val="0000FF"/>
          <w:sz w:val="24"/>
        </w:rPr>
      </w:pPr>
      <w:r>
        <w:rPr>
          <w:rFonts w:hint="eastAsia"/>
          <w:color w:val="0000FF"/>
          <w:sz w:val="24"/>
        </w:rPr>
        <w:t>★3、恒温恒湿系统具备远程监控功能</w:t>
      </w:r>
    </w:p>
    <w:p>
      <w:pPr>
        <w:spacing w:line="360" w:lineRule="auto"/>
        <w:rPr>
          <w:color w:val="0000FF"/>
          <w:sz w:val="24"/>
        </w:rPr>
      </w:pPr>
      <w:r>
        <w:rPr>
          <w:rFonts w:hint="eastAsia"/>
          <w:color w:val="0000FF"/>
          <w:sz w:val="24"/>
        </w:rPr>
        <w:t>★（2）冷藏库技术要求</w:t>
      </w:r>
    </w:p>
    <w:p>
      <w:pPr>
        <w:spacing w:line="360" w:lineRule="auto"/>
        <w:ind w:firstLine="420"/>
        <w:rPr>
          <w:color w:val="0000FF"/>
          <w:sz w:val="24"/>
        </w:rPr>
      </w:pPr>
      <w:r>
        <w:rPr>
          <w:rFonts w:hint="eastAsia"/>
          <w:color w:val="0000FF"/>
          <w:sz w:val="24"/>
        </w:rPr>
        <w:t>1、冷藏库库温-25~-18℃，可恒温保持-18℃，冷风机热氟化霜；冷库门内置门斗，库房面积约87㎡；</w:t>
      </w:r>
    </w:p>
    <w:p>
      <w:pPr>
        <w:spacing w:line="360" w:lineRule="auto"/>
        <w:ind w:firstLine="420"/>
        <w:rPr>
          <w:color w:val="0000FF"/>
          <w:sz w:val="24"/>
        </w:rPr>
      </w:pPr>
      <w:r>
        <w:rPr>
          <w:rFonts w:hint="eastAsia"/>
          <w:color w:val="0000FF"/>
          <w:sz w:val="24"/>
        </w:rPr>
        <w:t>2、冷库具备远程监控功能</w:t>
      </w:r>
    </w:p>
    <w:p>
      <w:pPr>
        <w:pStyle w:val="12"/>
        <w:spacing w:before="75" w:after="75"/>
        <w:ind w:firstLine="480" w:firstLineChars="200"/>
        <w:rPr>
          <w:rFonts w:hint="default"/>
          <w:color w:val="0000FF"/>
          <w:sz w:val="24"/>
          <w:szCs w:val="24"/>
          <w:lang w:eastAsia="zh-CN"/>
        </w:rPr>
      </w:pPr>
      <w:r>
        <w:rPr>
          <w:color w:val="0000FF"/>
          <w:sz w:val="24"/>
          <w:szCs w:val="24"/>
          <w:lang w:eastAsia="zh-CN"/>
        </w:rPr>
        <w:t>3、投标方负责设备安装和电气、管道布置</w:t>
      </w:r>
    </w:p>
    <w:p>
      <w:pPr>
        <w:numPr>
          <w:ilvl w:val="0"/>
          <w:numId w:val="2"/>
        </w:numPr>
        <w:spacing w:line="360" w:lineRule="auto"/>
        <w:rPr>
          <w:color w:val="0000FF"/>
          <w:sz w:val="24"/>
        </w:rPr>
      </w:pPr>
      <w:r>
        <w:rPr>
          <w:rFonts w:hint="eastAsia"/>
          <w:color w:val="0000FF"/>
          <w:sz w:val="24"/>
        </w:rPr>
        <w:t>保鲜库</w:t>
      </w:r>
    </w:p>
    <w:p>
      <w:pPr>
        <w:spacing w:line="360" w:lineRule="auto"/>
        <w:ind w:firstLine="420"/>
        <w:rPr>
          <w:color w:val="0000FF"/>
          <w:sz w:val="24"/>
        </w:rPr>
      </w:pPr>
      <w:r>
        <w:rPr>
          <w:rFonts w:hint="eastAsia"/>
          <w:color w:val="0000FF"/>
          <w:sz w:val="24"/>
        </w:rPr>
        <w:t>1、保鲜库库温0~4℃，保鲜库门内置门斗，库房面积约261㎡。</w:t>
      </w:r>
    </w:p>
    <w:p>
      <w:pPr>
        <w:spacing w:line="360" w:lineRule="auto"/>
        <w:ind w:firstLine="420"/>
        <w:rPr>
          <w:color w:val="0000FF"/>
          <w:sz w:val="24"/>
        </w:rPr>
      </w:pPr>
      <w:r>
        <w:rPr>
          <w:rFonts w:hint="eastAsia"/>
          <w:color w:val="0000FF"/>
          <w:sz w:val="24"/>
        </w:rPr>
        <w:t>2、保鲜库具备远程监控功能</w:t>
      </w:r>
    </w:p>
    <w:p>
      <w:pPr>
        <w:numPr>
          <w:ilvl w:val="0"/>
          <w:numId w:val="3"/>
        </w:numPr>
        <w:spacing w:line="360" w:lineRule="auto"/>
        <w:ind w:firstLine="420"/>
        <w:rPr>
          <w:rFonts w:hint="eastAsia"/>
          <w:color w:val="0000FF"/>
          <w:sz w:val="24"/>
        </w:rPr>
      </w:pPr>
      <w:r>
        <w:rPr>
          <w:rFonts w:hint="eastAsia"/>
          <w:color w:val="0000FF"/>
          <w:sz w:val="24"/>
        </w:rPr>
        <w:t>投标方负责设备安装和电气、管道布置</w:t>
      </w:r>
    </w:p>
    <w:p>
      <w:pPr>
        <w:pStyle w:val="2"/>
        <w:numPr>
          <w:ilvl w:val="0"/>
          <w:numId w:val="0"/>
        </w:numPr>
        <w:rPr>
          <w:color w:val="0000FF"/>
          <w:sz w:val="24"/>
        </w:rPr>
      </w:pPr>
      <w:r>
        <w:rPr>
          <w:rFonts w:hint="eastAsia"/>
          <w:color w:val="0000FF"/>
          <w:sz w:val="24"/>
        </w:rPr>
        <w:t>★</w:t>
      </w:r>
      <w:r>
        <w:rPr>
          <w:rFonts w:hint="eastAsia"/>
          <w:color w:val="0000FF"/>
          <w:sz w:val="24"/>
          <w:lang w:eastAsia="zh-CN"/>
        </w:rPr>
        <w:t>（</w:t>
      </w:r>
      <w:r>
        <w:rPr>
          <w:rFonts w:hint="eastAsia"/>
          <w:color w:val="0000FF"/>
          <w:sz w:val="24"/>
          <w:lang w:val="en-US" w:eastAsia="zh-CN"/>
        </w:rPr>
        <w:t>4）</w:t>
      </w:r>
      <w:r>
        <w:rPr>
          <w:rFonts w:hint="eastAsia"/>
          <w:color w:val="0000FF"/>
          <w:sz w:val="24"/>
        </w:rPr>
        <w:t>银耳初加工系统技术要求</w:t>
      </w:r>
    </w:p>
    <w:p>
      <w:pPr>
        <w:spacing w:line="360" w:lineRule="auto"/>
        <w:ind w:firstLine="420"/>
        <w:rPr>
          <w:color w:val="0000FF"/>
          <w:sz w:val="24"/>
        </w:rPr>
      </w:pPr>
      <w:r>
        <w:rPr>
          <w:rFonts w:hint="eastAsia"/>
          <w:color w:val="0000FF"/>
          <w:sz w:val="24"/>
        </w:rPr>
        <w:t>1、烘干系统采用全自动烘干流水线，具备日产1000斤干菇烘干能力；</w:t>
      </w:r>
    </w:p>
    <w:p>
      <w:pPr>
        <w:spacing w:line="360" w:lineRule="auto"/>
        <w:ind w:firstLine="420"/>
        <w:rPr>
          <w:rFonts w:hint="eastAsia"/>
          <w:lang w:eastAsia="zh-CN"/>
        </w:rPr>
      </w:pPr>
      <w:r>
        <w:rPr>
          <w:rFonts w:hint="eastAsia"/>
          <w:color w:val="0000FF"/>
          <w:sz w:val="24"/>
        </w:rPr>
        <w:t>2、烘干模式为低温烘干；</w:t>
      </w:r>
    </w:p>
    <w:p>
      <w:pPr>
        <w:spacing w:line="360" w:lineRule="auto"/>
        <w:ind w:firstLine="420"/>
        <w:rPr>
          <w:rFonts w:hint="eastAsia"/>
          <w:color w:val="0000FF"/>
          <w:sz w:val="24"/>
        </w:rPr>
      </w:pPr>
      <w:r>
        <w:rPr>
          <w:rFonts w:hint="eastAsia"/>
          <w:color w:val="0000FF"/>
          <w:sz w:val="24"/>
          <w:lang w:val="en-US" w:eastAsia="zh-CN"/>
        </w:rPr>
        <w:t>3、</w:t>
      </w:r>
      <w:r>
        <w:rPr>
          <w:rFonts w:hint="eastAsia"/>
          <w:color w:val="0000FF"/>
          <w:sz w:val="24"/>
        </w:rPr>
        <w:t>烘干后产品无杂质、品相好，满足食品标准要求。</w:t>
      </w:r>
    </w:p>
    <w:p>
      <w:pPr>
        <w:spacing w:line="360" w:lineRule="auto"/>
        <w:ind w:firstLine="420"/>
        <w:rPr>
          <w:rFonts w:hint="eastAsia"/>
          <w:color w:val="0000FF"/>
          <w:sz w:val="24"/>
        </w:rPr>
      </w:pPr>
      <w:r>
        <w:rPr>
          <w:rFonts w:hint="eastAsia"/>
          <w:color w:val="0000FF"/>
          <w:sz w:val="24"/>
        </w:rPr>
        <w:t>4、烘干系统具备远程监控功能</w:t>
      </w:r>
    </w:p>
    <w:p>
      <w:pPr>
        <w:spacing w:line="360" w:lineRule="auto"/>
        <w:ind w:firstLine="420"/>
        <w:rPr>
          <w:color w:val="0000FF"/>
          <w:sz w:val="24"/>
        </w:rPr>
      </w:pPr>
      <w:r>
        <w:rPr>
          <w:rFonts w:hint="eastAsia"/>
          <w:color w:val="0000FF"/>
          <w:sz w:val="24"/>
        </w:rPr>
        <w:t>5、银耳清洗线具备鲜银耳清洗功能，清洗效率满足日产1000斤干银耳的清洗能力</w:t>
      </w:r>
    </w:p>
    <w:p>
      <w:pPr>
        <w:numPr>
          <w:ilvl w:val="0"/>
          <w:numId w:val="4"/>
        </w:numPr>
        <w:spacing w:line="360" w:lineRule="auto"/>
        <w:rPr>
          <w:color w:val="0000FF"/>
          <w:sz w:val="24"/>
        </w:rPr>
      </w:pPr>
      <w:r>
        <w:rPr>
          <w:rFonts w:hint="eastAsia"/>
          <w:color w:val="0000FF"/>
          <w:sz w:val="24"/>
        </w:rPr>
        <w:t>育菇车间菇架技术要求</w:t>
      </w:r>
    </w:p>
    <w:p>
      <w:pPr>
        <w:spacing w:line="360" w:lineRule="auto"/>
        <w:ind w:firstLine="420"/>
        <w:rPr>
          <w:color w:val="0000FF"/>
          <w:sz w:val="24"/>
        </w:rPr>
      </w:pPr>
      <w:r>
        <w:rPr>
          <w:rFonts w:hint="eastAsia"/>
          <w:color w:val="0000FF"/>
          <w:sz w:val="24"/>
        </w:rPr>
        <w:t>1、育菇架满足菌包承载要求、使用寿命内不生锈，满足菌包摆放、菌菇生长、采菇的生产工艺。</w:t>
      </w:r>
    </w:p>
    <w:p>
      <w:pPr>
        <w:numPr>
          <w:ilvl w:val="0"/>
          <w:numId w:val="4"/>
        </w:numPr>
        <w:spacing w:line="360" w:lineRule="auto"/>
        <w:rPr>
          <w:color w:val="0000FF"/>
          <w:sz w:val="24"/>
        </w:rPr>
      </w:pPr>
      <w:r>
        <w:rPr>
          <w:rFonts w:hint="eastAsia"/>
          <w:color w:val="0000FF"/>
          <w:sz w:val="24"/>
        </w:rPr>
        <w:t>包装系统技术要求</w:t>
      </w:r>
    </w:p>
    <w:p>
      <w:pPr>
        <w:spacing w:line="360" w:lineRule="auto"/>
        <w:ind w:firstLine="420"/>
      </w:pPr>
      <w:r>
        <w:rPr>
          <w:rFonts w:hint="eastAsia"/>
          <w:color w:val="0000FF"/>
          <w:sz w:val="24"/>
        </w:rPr>
        <w:t>1、每套设备至少满足速泡银耳1200包/小时包装能力，银耳要求每包3g，包装精度+-0.1g；</w:t>
      </w:r>
    </w:p>
    <w:p>
      <w:pPr>
        <w:spacing w:line="360" w:lineRule="auto"/>
        <w:ind w:firstLine="420"/>
        <w:rPr>
          <w:color w:val="0000FF"/>
          <w:sz w:val="24"/>
        </w:rPr>
      </w:pPr>
      <w:r>
        <w:rPr>
          <w:rFonts w:hint="eastAsia"/>
          <w:color w:val="0000FF"/>
          <w:sz w:val="24"/>
        </w:rPr>
        <w:t>2、包装机具备远程监控功能。</w:t>
      </w:r>
    </w:p>
    <w:p>
      <w:pPr>
        <w:numPr>
          <w:ilvl w:val="0"/>
          <w:numId w:val="4"/>
        </w:numPr>
        <w:spacing w:line="360" w:lineRule="auto"/>
        <w:rPr>
          <w:color w:val="0000FF"/>
          <w:sz w:val="24"/>
        </w:rPr>
      </w:pPr>
      <w:r>
        <w:rPr>
          <w:rFonts w:hint="eastAsia"/>
          <w:color w:val="0000FF"/>
          <w:sz w:val="24"/>
        </w:rPr>
        <w:t>中央空调技术要求</w:t>
      </w:r>
    </w:p>
    <w:p>
      <w:pPr>
        <w:spacing w:line="360" w:lineRule="auto"/>
        <w:ind w:firstLine="420"/>
        <w:rPr>
          <w:color w:val="0000FF"/>
          <w:sz w:val="24"/>
        </w:rPr>
      </w:pPr>
      <w:r>
        <w:rPr>
          <w:rFonts w:hint="eastAsia"/>
          <w:color w:val="0000FF"/>
          <w:sz w:val="24"/>
        </w:rPr>
        <w:t>1、初加工车间尺寸：48.8m*17m；包装车间尺寸：24.4m*14.3m；展厅尺寸39m*35m。</w:t>
      </w:r>
    </w:p>
    <w:p>
      <w:pPr>
        <w:spacing w:line="360" w:lineRule="auto"/>
        <w:ind w:firstLine="420"/>
        <w:rPr>
          <w:color w:val="0000FF"/>
          <w:sz w:val="24"/>
        </w:rPr>
      </w:pPr>
      <w:r>
        <w:rPr>
          <w:color w:val="0000FF"/>
          <w:sz w:val="24"/>
        </w:rPr>
        <w:t>2</w:t>
      </w:r>
      <w:r>
        <w:rPr>
          <w:rFonts w:hint="eastAsia"/>
          <w:color w:val="0000FF"/>
          <w:sz w:val="24"/>
        </w:rPr>
        <w:t>、夏季空调温度24-26度，冬季空调温度18-20度。新风量每人20-30立方米/小时，新风带初效中效过滤，提高空气质量。</w:t>
      </w:r>
    </w:p>
    <w:p>
      <w:pPr>
        <w:spacing w:line="360" w:lineRule="auto"/>
        <w:ind w:firstLine="420"/>
        <w:rPr>
          <w:color w:val="0000FF"/>
          <w:sz w:val="24"/>
        </w:rPr>
      </w:pPr>
      <w:r>
        <w:rPr>
          <w:rFonts w:hint="eastAsia"/>
          <w:color w:val="0000FF"/>
          <w:sz w:val="24"/>
        </w:rPr>
        <w:t>3、投标单位提供的机组和风机盘管的风量、冷量、热量、风压等指标必须满足设计图纸的要求。噪音值满足国家相关标准要求。</w:t>
      </w:r>
    </w:p>
    <w:p>
      <w:pPr>
        <w:spacing w:line="360" w:lineRule="auto"/>
        <w:ind w:firstLine="420"/>
        <w:rPr>
          <w:color w:val="0000FF"/>
          <w:sz w:val="24"/>
        </w:rPr>
      </w:pPr>
      <w:r>
        <w:rPr>
          <w:rFonts w:hint="eastAsia"/>
          <w:color w:val="0000FF"/>
          <w:sz w:val="24"/>
        </w:rPr>
        <w:t>4、设备在工作环境下应能耐受在正常使用中的潮湿条件。</w:t>
      </w:r>
    </w:p>
    <w:p>
      <w:pPr>
        <w:spacing w:line="360" w:lineRule="auto"/>
        <w:ind w:firstLine="420"/>
        <w:rPr>
          <w:color w:val="0000FF"/>
          <w:sz w:val="24"/>
        </w:rPr>
      </w:pPr>
      <w:r>
        <w:rPr>
          <w:color w:val="0000FF"/>
          <w:sz w:val="24"/>
        </w:rPr>
        <w:t>5</w:t>
      </w:r>
      <w:r>
        <w:rPr>
          <w:rFonts w:hint="eastAsia"/>
          <w:color w:val="0000FF"/>
          <w:sz w:val="24"/>
        </w:rPr>
        <w:t>、设备振动实测≤4mm/s，噪音实测≤80dB。</w:t>
      </w:r>
    </w:p>
    <w:p>
      <w:pPr>
        <w:spacing w:line="360" w:lineRule="auto"/>
        <w:ind w:firstLine="420"/>
        <w:rPr>
          <w:color w:val="0000FF"/>
          <w:sz w:val="24"/>
        </w:rPr>
      </w:pPr>
      <w:r>
        <w:rPr>
          <w:rFonts w:hint="eastAsia"/>
          <w:color w:val="0000FF"/>
          <w:sz w:val="24"/>
        </w:rPr>
        <w:t>6、盘管的最高点应设有放气点，最低端应设放水点。车间内空调末端设备吊装牢固，无明显震动现象；车间内制冷管道和冷凝水管的管道和保温安装美观、牢固；车间内冷凝水管排水畅通，无漏水现象；</w:t>
      </w:r>
    </w:p>
    <w:p>
      <w:pPr>
        <w:spacing w:line="360" w:lineRule="auto"/>
        <w:ind w:firstLine="420"/>
        <w:rPr>
          <w:rFonts w:hint="eastAsia"/>
          <w:color w:val="0000FF"/>
          <w:sz w:val="24"/>
        </w:rPr>
      </w:pPr>
      <w:r>
        <w:rPr>
          <w:rFonts w:hint="eastAsia"/>
          <w:color w:val="0000FF"/>
          <w:sz w:val="24"/>
        </w:rPr>
        <w:t>7、空调末端设备配置有遥控功能，便于操作使用。</w:t>
      </w:r>
    </w:p>
    <w:p>
      <w:pPr>
        <w:numPr>
          <w:ilvl w:val="0"/>
          <w:numId w:val="4"/>
        </w:numPr>
        <w:spacing w:line="360" w:lineRule="auto"/>
        <w:rPr>
          <w:color w:val="0000FF"/>
          <w:sz w:val="24"/>
        </w:rPr>
      </w:pPr>
      <w:r>
        <w:rPr>
          <w:rFonts w:hint="eastAsia"/>
          <w:color w:val="0000FF"/>
          <w:sz w:val="24"/>
        </w:rPr>
        <w:t>菌筐</w:t>
      </w:r>
    </w:p>
    <w:p>
      <w:pPr>
        <w:spacing w:line="360" w:lineRule="auto"/>
        <w:ind w:firstLine="420"/>
        <w:rPr>
          <w:color w:val="0000FF"/>
          <w:sz w:val="24"/>
        </w:rPr>
      </w:pPr>
      <w:r>
        <w:rPr>
          <w:rFonts w:hint="eastAsia"/>
          <w:color w:val="0000FF"/>
          <w:sz w:val="24"/>
        </w:rPr>
        <w:t>菌筐分为茶树菇育菇筐，采菇筐和冷库存储菌筐。菌筐材质和强度需满足茶树菇育菇工艺，采菇和冷库存储环境要求。</w:t>
      </w:r>
    </w:p>
    <w:p>
      <w:pPr>
        <w:pStyle w:val="12"/>
        <w:spacing w:before="75" w:after="75"/>
        <w:ind w:firstLine="480"/>
        <w:rPr>
          <w:rFonts w:hint="default" w:ascii="宋体" w:hAnsi="宋体" w:eastAsia="宋体" w:cs="宋体"/>
          <w:b/>
          <w:color w:val="0000FF"/>
          <w:sz w:val="24"/>
        </w:rPr>
      </w:pPr>
      <w:r>
        <w:rPr>
          <w:rFonts w:ascii="宋体" w:hAnsi="宋体" w:eastAsia="宋体" w:cs="宋体"/>
          <w:b/>
          <w:color w:val="0000FF"/>
          <w:sz w:val="24"/>
        </w:rPr>
        <w:t>2.</w:t>
      </w:r>
      <w:r>
        <w:rPr>
          <w:rFonts w:ascii="宋体" w:hAnsi="宋体" w:eastAsia="宋体" w:cs="宋体"/>
          <w:b/>
          <w:color w:val="0000FF"/>
          <w:sz w:val="24"/>
          <w:lang w:eastAsia="zh-CN"/>
        </w:rPr>
        <w:t>3</w:t>
      </w:r>
      <w:r>
        <w:rPr>
          <w:rFonts w:ascii="宋体" w:hAnsi="宋体" w:eastAsia="宋体" w:cs="宋体"/>
          <w:b/>
          <w:color w:val="0000FF"/>
          <w:sz w:val="24"/>
        </w:rPr>
        <w:t>技术参数</w:t>
      </w:r>
      <w:r>
        <w:rPr>
          <w:rFonts w:ascii="宋体" w:hAnsi="宋体" w:eastAsia="宋体" w:cs="宋体"/>
          <w:b/>
          <w:color w:val="0000FF"/>
          <w:sz w:val="24"/>
          <w:lang w:eastAsia="zh-CN"/>
        </w:rPr>
        <w:t>及配套</w:t>
      </w:r>
      <w:r>
        <w:rPr>
          <w:rFonts w:ascii="宋体" w:hAnsi="宋体" w:eastAsia="宋体" w:cs="宋体"/>
          <w:b/>
          <w:color w:val="0000FF"/>
          <w:sz w:val="24"/>
        </w:rPr>
        <w:t>要求</w:t>
      </w:r>
    </w:p>
    <w:p>
      <w:pPr>
        <w:spacing w:line="360" w:lineRule="auto"/>
        <w:ind w:firstLine="420"/>
        <w:rPr>
          <w:color w:val="0000FF"/>
          <w:sz w:val="24"/>
        </w:rPr>
      </w:pPr>
      <w:r>
        <w:rPr>
          <w:rFonts w:hint="eastAsia"/>
          <w:color w:val="0000FF"/>
          <w:sz w:val="24"/>
        </w:rPr>
        <w:t>技术参数表所提参数及配置是为了完成项目所需的基本参数及配置，中标方可在满足工艺系统技术要求的基础上，适当调整设备选型以满足菌菇生产及育菇要求。</w:t>
      </w:r>
    </w:p>
    <w:p>
      <w:pPr>
        <w:pStyle w:val="12"/>
        <w:spacing w:before="75" w:after="75"/>
        <w:ind w:firstLine="480"/>
        <w:rPr>
          <w:rFonts w:hint="default" w:ascii="宋体" w:hAnsi="宋体" w:eastAsia="宋体" w:cs="宋体"/>
          <w:b/>
          <w:color w:val="0000FF"/>
          <w:sz w:val="24"/>
          <w:lang w:eastAsia="zh-CN"/>
        </w:rPr>
      </w:pPr>
      <w:r>
        <w:rPr>
          <w:rFonts w:ascii="宋体" w:hAnsi="宋体" w:eastAsia="宋体" w:cs="宋体"/>
          <w:b/>
          <w:color w:val="0000FF"/>
          <w:sz w:val="24"/>
          <w:lang w:eastAsia="zh-CN"/>
        </w:rPr>
        <w:t>2.3.1 恒温恒湿制冷系统技术参数及配套要求</w:t>
      </w:r>
    </w:p>
    <w:tbl>
      <w:tblPr>
        <w:tblStyle w:val="9"/>
        <w:tblW w:w="8426"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896"/>
        <w:gridCol w:w="1428"/>
        <w:gridCol w:w="3585"/>
        <w:gridCol w:w="1000"/>
        <w:gridCol w:w="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3"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序号</w:t>
            </w:r>
          </w:p>
        </w:tc>
        <w:tc>
          <w:tcPr>
            <w:tcW w:w="896" w:type="dxa"/>
            <w:shd w:val="clear" w:color="auto" w:fill="auto"/>
          </w:tcPr>
          <w:p>
            <w:pPr>
              <w:widowControl/>
              <w:jc w:val="left"/>
              <w:textAlignment w:val="top"/>
              <w:rPr>
                <w:rFonts w:ascii="宋体" w:hAnsi="宋体" w:cs="宋体"/>
                <w:color w:val="0000FF"/>
                <w:sz w:val="18"/>
                <w:szCs w:val="18"/>
                <w:lang w:bidi="ar"/>
              </w:rPr>
            </w:pPr>
            <w:r>
              <w:rPr>
                <w:rStyle w:val="16"/>
                <w:rFonts w:hint="default"/>
                <w:color w:val="0000FF"/>
                <w:lang w:bidi="ar"/>
              </w:rPr>
              <w:t>分系统</w:t>
            </w:r>
          </w:p>
        </w:tc>
        <w:tc>
          <w:tcPr>
            <w:tcW w:w="1428"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项目名称</w:t>
            </w:r>
          </w:p>
        </w:tc>
        <w:tc>
          <w:tcPr>
            <w:tcW w:w="3585" w:type="dxa"/>
            <w:shd w:val="clear" w:color="auto" w:fill="auto"/>
          </w:tcPr>
          <w:p>
            <w:pPr>
              <w:jc w:val="left"/>
              <w:rPr>
                <w:rFonts w:ascii="宋体" w:hAnsi="宋体" w:cs="宋体"/>
                <w:color w:val="0000FF"/>
                <w:sz w:val="18"/>
                <w:szCs w:val="18"/>
              </w:rPr>
            </w:pPr>
            <w:r>
              <w:rPr>
                <w:rFonts w:hint="eastAsia" w:ascii="宋体" w:hAnsi="宋体" w:cs="宋体"/>
                <w:color w:val="0000FF"/>
                <w:sz w:val="18"/>
                <w:szCs w:val="18"/>
              </w:rPr>
              <w:t>项目特征描述</w:t>
            </w:r>
          </w:p>
        </w:tc>
        <w:tc>
          <w:tcPr>
            <w:tcW w:w="1000"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计量单位</w:t>
            </w:r>
          </w:p>
        </w:tc>
        <w:tc>
          <w:tcPr>
            <w:tcW w:w="904"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w:t>
            </w:r>
          </w:p>
        </w:tc>
        <w:tc>
          <w:tcPr>
            <w:tcW w:w="896"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制冷系统</w:t>
            </w:r>
          </w:p>
        </w:tc>
        <w:tc>
          <w:tcPr>
            <w:tcW w:w="1428"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空调器（银耳）</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(1)恒温恒湿房食用菌热泵机组</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台</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(2)制冷量：21.2KW.</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(3)额定功率：7.8KW.</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(4)电源：380V，220V/50HZ.</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(5)风量：6000M3/H，风压：500Pa,功率：1.65KW.</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Style w:val="16"/>
                <w:rFonts w:hint="default"/>
                <w:color w:val="0000FF"/>
                <w:lang w:bidi="ar"/>
              </w:rPr>
            </w:pPr>
            <w:r>
              <w:rPr>
                <w:rStyle w:val="16"/>
                <w:rFonts w:hint="default"/>
                <w:color w:val="0000FF"/>
                <w:lang w:bidi="ar"/>
              </w:rPr>
              <w:t>(6)外形尺寸：1.3M*1.5M*2.4M.</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(7)外机重量：480KG.</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w:t>
            </w:r>
          </w:p>
        </w:tc>
        <w:tc>
          <w:tcPr>
            <w:tcW w:w="896" w:type="dxa"/>
            <w:vMerge w:val="continue"/>
            <w:shd w:val="clear" w:color="auto" w:fill="auto"/>
          </w:tcPr>
          <w:p>
            <w:pPr>
              <w:widowControl/>
              <w:jc w:val="center"/>
              <w:textAlignment w:val="top"/>
              <w:rPr>
                <w:rStyle w:val="16"/>
                <w:rFonts w:hint="default"/>
                <w:color w:val="0000FF"/>
                <w:lang w:bidi="ar"/>
              </w:rPr>
            </w:pPr>
          </w:p>
        </w:tc>
        <w:tc>
          <w:tcPr>
            <w:tcW w:w="1428"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空调器（花菇，茶树菇）</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 xml:space="preserve">(1)恒温恒湿房食用菌热泵机组 </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台</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center"/>
              <w:rPr>
                <w:rFonts w:ascii="宋体" w:hAnsi="宋体" w:cs="宋体"/>
                <w:color w:val="0000FF"/>
                <w:sz w:val="18"/>
                <w:szCs w:val="18"/>
              </w:rPr>
            </w:pPr>
          </w:p>
        </w:tc>
        <w:tc>
          <w:tcPr>
            <w:tcW w:w="1428" w:type="dxa"/>
            <w:vMerge w:val="continue"/>
            <w:shd w:val="clear" w:color="auto" w:fill="auto"/>
          </w:tcPr>
          <w:p>
            <w:pPr>
              <w:jc w:val="center"/>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(2)制冷量：60KW.</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center"/>
              <w:rPr>
                <w:rFonts w:ascii="宋体" w:hAnsi="宋体" w:cs="宋体"/>
                <w:color w:val="0000FF"/>
                <w:sz w:val="18"/>
                <w:szCs w:val="18"/>
              </w:rPr>
            </w:pPr>
          </w:p>
        </w:tc>
        <w:tc>
          <w:tcPr>
            <w:tcW w:w="1428" w:type="dxa"/>
            <w:vMerge w:val="continue"/>
            <w:shd w:val="clear" w:color="auto" w:fill="auto"/>
          </w:tcPr>
          <w:p>
            <w:pPr>
              <w:jc w:val="center"/>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(3)额定功率：11.5KW.</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center"/>
              <w:rPr>
                <w:rFonts w:ascii="宋体" w:hAnsi="宋体" w:cs="宋体"/>
                <w:color w:val="0000FF"/>
                <w:sz w:val="18"/>
                <w:szCs w:val="18"/>
              </w:rPr>
            </w:pPr>
          </w:p>
        </w:tc>
        <w:tc>
          <w:tcPr>
            <w:tcW w:w="1428" w:type="dxa"/>
            <w:vMerge w:val="continue"/>
            <w:shd w:val="clear" w:color="auto" w:fill="auto"/>
          </w:tcPr>
          <w:p>
            <w:pPr>
              <w:jc w:val="center"/>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(4)电源：380V/50HZ.</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center"/>
              <w:rPr>
                <w:rFonts w:ascii="宋体" w:hAnsi="宋体" w:cs="宋体"/>
                <w:color w:val="0000FF"/>
                <w:sz w:val="18"/>
                <w:szCs w:val="18"/>
              </w:rPr>
            </w:pPr>
          </w:p>
        </w:tc>
        <w:tc>
          <w:tcPr>
            <w:tcW w:w="1428" w:type="dxa"/>
            <w:vMerge w:val="continue"/>
            <w:shd w:val="clear" w:color="auto" w:fill="auto"/>
          </w:tcPr>
          <w:p>
            <w:pPr>
              <w:jc w:val="center"/>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(5)风量：9000M3/H.</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center"/>
              <w:rPr>
                <w:rFonts w:ascii="宋体" w:hAnsi="宋体" w:cs="宋体"/>
                <w:color w:val="0000FF"/>
                <w:sz w:val="18"/>
                <w:szCs w:val="18"/>
              </w:rPr>
            </w:pPr>
          </w:p>
        </w:tc>
        <w:tc>
          <w:tcPr>
            <w:tcW w:w="1428" w:type="dxa"/>
            <w:vMerge w:val="continue"/>
            <w:shd w:val="clear" w:color="auto" w:fill="auto"/>
          </w:tcPr>
          <w:p>
            <w:pPr>
              <w:jc w:val="center"/>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(6)外形尺寸：2M*1.15M*2M.</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center"/>
              <w:rPr>
                <w:rFonts w:ascii="宋体" w:hAnsi="宋体" w:cs="宋体"/>
                <w:color w:val="0000FF"/>
                <w:sz w:val="18"/>
                <w:szCs w:val="18"/>
              </w:rPr>
            </w:pPr>
          </w:p>
        </w:tc>
        <w:tc>
          <w:tcPr>
            <w:tcW w:w="1428" w:type="dxa"/>
            <w:vMerge w:val="continue"/>
            <w:shd w:val="clear" w:color="auto" w:fill="auto"/>
          </w:tcPr>
          <w:p>
            <w:pPr>
              <w:jc w:val="center"/>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(7)外机重量：750KG.</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w:t>
            </w:r>
          </w:p>
        </w:tc>
        <w:tc>
          <w:tcPr>
            <w:tcW w:w="896" w:type="dxa"/>
            <w:vMerge w:val="continue"/>
            <w:shd w:val="clear" w:color="auto" w:fill="auto"/>
          </w:tcPr>
          <w:p>
            <w:pPr>
              <w:widowControl/>
              <w:jc w:val="left"/>
              <w:textAlignment w:val="top"/>
              <w:rPr>
                <w:rStyle w:val="16"/>
                <w:rFonts w:hint="default"/>
                <w:color w:val="0000FF"/>
                <w:lang w:bidi="ar"/>
              </w:rPr>
            </w:pPr>
          </w:p>
        </w:tc>
        <w:tc>
          <w:tcPr>
            <w:tcW w:w="1428"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空气加湿器</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(1)超声波加湿器</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台</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(2)功率：1.2KW.</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(3)加湿量：12~24L/H.</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(4)电源：220V/50HZ.</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(5)控制箱尺寸：380*160*340（长宽高MM)，水箱尺寸：450*380*330（长宽高MM).</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(6)风量：350立方/小时</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4</w:t>
            </w:r>
          </w:p>
        </w:tc>
        <w:tc>
          <w:tcPr>
            <w:tcW w:w="896" w:type="dxa"/>
            <w:vMerge w:val="continue"/>
            <w:shd w:val="clear" w:color="auto" w:fill="auto"/>
          </w:tcPr>
          <w:p>
            <w:pPr>
              <w:widowControl/>
              <w:jc w:val="center"/>
              <w:textAlignment w:val="top"/>
              <w:rPr>
                <w:rStyle w:val="16"/>
                <w:rFonts w:hint="default"/>
                <w:color w:val="0000FF"/>
                <w:lang w:bidi="ar"/>
              </w:rPr>
            </w:pPr>
          </w:p>
        </w:tc>
        <w:tc>
          <w:tcPr>
            <w:tcW w:w="1428"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碳钢阀门</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(1)电动新风调节阀</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个</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center"/>
              <w:rPr>
                <w:rFonts w:ascii="宋体" w:hAnsi="宋体" w:cs="宋体"/>
                <w:color w:val="0000FF"/>
                <w:sz w:val="18"/>
                <w:szCs w:val="18"/>
              </w:rPr>
            </w:pPr>
          </w:p>
        </w:tc>
        <w:tc>
          <w:tcPr>
            <w:tcW w:w="1428" w:type="dxa"/>
            <w:vMerge w:val="continue"/>
            <w:shd w:val="clear" w:color="auto" w:fill="auto"/>
          </w:tcPr>
          <w:p>
            <w:pPr>
              <w:jc w:val="center"/>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(2)尺寸：980mm*400mm</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center"/>
              <w:rPr>
                <w:rFonts w:ascii="宋体" w:hAnsi="宋体" w:cs="宋体"/>
                <w:color w:val="0000FF"/>
                <w:sz w:val="18"/>
                <w:szCs w:val="18"/>
              </w:rPr>
            </w:pPr>
          </w:p>
        </w:tc>
        <w:tc>
          <w:tcPr>
            <w:tcW w:w="1428" w:type="dxa"/>
            <w:vMerge w:val="continue"/>
            <w:shd w:val="clear" w:color="auto" w:fill="auto"/>
          </w:tcPr>
          <w:p>
            <w:pPr>
              <w:jc w:val="center"/>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 开关0-90°/240毫秒</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center"/>
              <w:rPr>
                <w:rFonts w:ascii="宋体" w:hAnsi="宋体" w:cs="宋体"/>
                <w:color w:val="0000FF"/>
                <w:sz w:val="18"/>
                <w:szCs w:val="18"/>
              </w:rPr>
            </w:pPr>
          </w:p>
        </w:tc>
        <w:tc>
          <w:tcPr>
            <w:tcW w:w="1428" w:type="dxa"/>
            <w:vMerge w:val="continue"/>
            <w:shd w:val="clear" w:color="auto" w:fill="auto"/>
          </w:tcPr>
          <w:p>
            <w:pPr>
              <w:jc w:val="center"/>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(4)电源：220v/50HZ</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5</w:t>
            </w:r>
          </w:p>
        </w:tc>
        <w:tc>
          <w:tcPr>
            <w:tcW w:w="896" w:type="dxa"/>
            <w:vMerge w:val="continue"/>
            <w:shd w:val="clear" w:color="auto" w:fill="auto"/>
          </w:tcPr>
          <w:p>
            <w:pPr>
              <w:widowControl/>
              <w:jc w:val="left"/>
              <w:textAlignment w:val="top"/>
              <w:rPr>
                <w:rStyle w:val="16"/>
                <w:rFonts w:hint="default"/>
                <w:color w:val="0000FF"/>
                <w:lang w:bidi="ar"/>
              </w:rPr>
            </w:pPr>
          </w:p>
        </w:tc>
        <w:tc>
          <w:tcPr>
            <w:tcW w:w="1428"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点型探测器</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(1)二氧化碳湿度探头</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个</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(2)电源：24v</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(3)量程：0-5000ppm</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6</w:t>
            </w:r>
          </w:p>
        </w:tc>
        <w:tc>
          <w:tcPr>
            <w:tcW w:w="896" w:type="dxa"/>
            <w:vMerge w:val="continue"/>
            <w:shd w:val="clear" w:color="auto" w:fill="auto"/>
          </w:tcPr>
          <w:p>
            <w:pPr>
              <w:widowControl/>
              <w:jc w:val="left"/>
              <w:textAlignment w:val="top"/>
              <w:rPr>
                <w:rStyle w:val="16"/>
                <w:rFonts w:hint="default"/>
                <w:color w:val="0000FF"/>
                <w:lang w:bidi="ar"/>
              </w:rPr>
            </w:pPr>
          </w:p>
        </w:tc>
        <w:tc>
          <w:tcPr>
            <w:tcW w:w="1428"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碳钢阀门</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(1)电动回风调节阀</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个</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(2)尺寸：980mm*850mm</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(3)开关0-90℃/240毫秒</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(4)电源：220v/50HZ</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7</w:t>
            </w:r>
          </w:p>
        </w:tc>
        <w:tc>
          <w:tcPr>
            <w:tcW w:w="896" w:type="dxa"/>
            <w:vMerge w:val="continue"/>
            <w:shd w:val="clear" w:color="auto" w:fill="auto"/>
          </w:tcPr>
          <w:p>
            <w:pPr>
              <w:widowControl/>
              <w:jc w:val="left"/>
              <w:textAlignment w:val="top"/>
              <w:rPr>
                <w:rStyle w:val="16"/>
                <w:rFonts w:hint="default"/>
                <w:color w:val="0000FF"/>
                <w:lang w:bidi="ar"/>
              </w:rPr>
            </w:pPr>
          </w:p>
        </w:tc>
        <w:tc>
          <w:tcPr>
            <w:tcW w:w="1428"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通风管道制作安装</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(1)规格:直径=400mm</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m2</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(2)材质:软风管(阻燃风带)</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(3)名称:风管制作安装</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(4)形状:圆形风管</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(5)管件、法兰等附件及支架满足设计要求</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8</w:t>
            </w:r>
          </w:p>
        </w:tc>
        <w:tc>
          <w:tcPr>
            <w:tcW w:w="896" w:type="dxa"/>
            <w:vMerge w:val="continue"/>
            <w:shd w:val="clear" w:color="auto" w:fill="auto"/>
          </w:tcPr>
          <w:p>
            <w:pPr>
              <w:widowControl/>
              <w:jc w:val="left"/>
              <w:textAlignment w:val="top"/>
              <w:rPr>
                <w:rStyle w:val="16"/>
                <w:rFonts w:hint="default"/>
                <w:color w:val="0000FF"/>
                <w:lang w:bidi="ar"/>
              </w:rPr>
            </w:pPr>
          </w:p>
        </w:tc>
        <w:tc>
          <w:tcPr>
            <w:tcW w:w="1428"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碳钢通风管道制作安装</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(1)规格:长边长≤1000mm</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m2</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(2)材质:镀锌薄钢板</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(3)名称:风管制作安装</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(4)形状:矩形风管</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(5)板材厚度:δ0.75</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(6)管件、法兰等附件及支架满足设计要求</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9</w:t>
            </w:r>
          </w:p>
        </w:tc>
        <w:tc>
          <w:tcPr>
            <w:tcW w:w="896" w:type="dxa"/>
            <w:vMerge w:val="continue"/>
            <w:shd w:val="clear" w:color="auto" w:fill="auto"/>
          </w:tcPr>
          <w:p>
            <w:pPr>
              <w:widowControl/>
              <w:jc w:val="left"/>
              <w:textAlignment w:val="top"/>
              <w:rPr>
                <w:rStyle w:val="16"/>
                <w:rFonts w:hint="default"/>
                <w:color w:val="0000FF"/>
                <w:lang w:bidi="ar"/>
              </w:rPr>
            </w:pPr>
          </w:p>
        </w:tc>
        <w:tc>
          <w:tcPr>
            <w:tcW w:w="1428"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碳钢通风管道制作安装</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(1)规格:长边长≤320mm</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m2</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(2)材质:镀锌薄钢板</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(3)名称:风管制作安装</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(4)形状:矩形风管</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(5)板材厚度:δ0.5</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(6)管件、法兰等附件及支架满足设计要求</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10</w:t>
            </w:r>
          </w:p>
        </w:tc>
        <w:tc>
          <w:tcPr>
            <w:tcW w:w="896" w:type="dxa"/>
            <w:vMerge w:val="continue"/>
            <w:shd w:val="clear" w:color="auto" w:fill="auto"/>
          </w:tcPr>
          <w:p>
            <w:pPr>
              <w:widowControl/>
              <w:jc w:val="left"/>
              <w:textAlignment w:val="top"/>
              <w:rPr>
                <w:rStyle w:val="16"/>
                <w:rFonts w:hint="default"/>
                <w:color w:val="0000FF"/>
                <w:lang w:bidi="ar"/>
              </w:rPr>
            </w:pPr>
          </w:p>
        </w:tc>
        <w:tc>
          <w:tcPr>
            <w:tcW w:w="1428"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其他保温隔热</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(1)橡塑保温 B2级</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m2</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11</w:t>
            </w:r>
          </w:p>
        </w:tc>
        <w:tc>
          <w:tcPr>
            <w:tcW w:w="896" w:type="dxa"/>
            <w:vMerge w:val="continue"/>
            <w:shd w:val="clear" w:color="auto" w:fill="auto"/>
          </w:tcPr>
          <w:p>
            <w:pPr>
              <w:widowControl/>
              <w:jc w:val="left"/>
              <w:textAlignment w:val="top"/>
              <w:rPr>
                <w:rStyle w:val="16"/>
                <w:rFonts w:hint="default"/>
                <w:color w:val="0000FF"/>
                <w:lang w:bidi="ar"/>
              </w:rPr>
            </w:pPr>
          </w:p>
        </w:tc>
        <w:tc>
          <w:tcPr>
            <w:tcW w:w="1428"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显示设备</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(1)末端PLC 7寸</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台</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(2)触摸屏:  供电DC24V, 4线电阻触摸屏, 7英寸,分辨率800X480, 24位真彩,显示屏面板亮度提高至600cd/㎡、防眩目.  控制器: 供电DC24V, 输入: DC24V, 输出: RLY, 通信端口网口</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12</w:t>
            </w:r>
          </w:p>
        </w:tc>
        <w:tc>
          <w:tcPr>
            <w:tcW w:w="896" w:type="dxa"/>
            <w:vMerge w:val="continue"/>
            <w:shd w:val="clear" w:color="auto" w:fill="auto"/>
          </w:tcPr>
          <w:p>
            <w:pPr>
              <w:widowControl/>
              <w:jc w:val="left"/>
              <w:textAlignment w:val="top"/>
              <w:rPr>
                <w:rStyle w:val="16"/>
                <w:rFonts w:hint="default"/>
                <w:color w:val="0000FF"/>
                <w:lang w:bidi="ar"/>
              </w:rPr>
            </w:pPr>
          </w:p>
        </w:tc>
        <w:tc>
          <w:tcPr>
            <w:tcW w:w="1428"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通风工程检测、调试</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24V链条开窗器10套；直流开窗机控制器5套;自垂百叶300*300mm，4个；回风百叶窗300*300mm，10个</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系统</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13</w:t>
            </w:r>
          </w:p>
        </w:tc>
        <w:tc>
          <w:tcPr>
            <w:tcW w:w="896" w:type="dxa"/>
            <w:vMerge w:val="restart"/>
            <w:shd w:val="clear" w:color="auto" w:fill="auto"/>
          </w:tcPr>
          <w:p>
            <w:pPr>
              <w:widowControl/>
              <w:jc w:val="left"/>
              <w:textAlignment w:val="top"/>
            </w:pPr>
            <w:r>
              <w:rPr>
                <w:rStyle w:val="16"/>
                <w:rFonts w:hint="default"/>
                <w:color w:val="0000FF"/>
                <w:lang w:bidi="ar"/>
              </w:rPr>
              <w:t>电气工程</w:t>
            </w:r>
          </w:p>
        </w:tc>
        <w:tc>
          <w:tcPr>
            <w:tcW w:w="1428"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配管</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(1)材质:JDG管</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(2)规格:DN20</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(3)配置形式:钢结构支架配管</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14</w:t>
            </w:r>
          </w:p>
        </w:tc>
        <w:tc>
          <w:tcPr>
            <w:tcW w:w="896" w:type="dxa"/>
            <w:vMerge w:val="continue"/>
            <w:shd w:val="clear" w:color="auto" w:fill="auto"/>
          </w:tcPr>
          <w:p>
            <w:pPr>
              <w:widowControl/>
              <w:jc w:val="left"/>
              <w:textAlignment w:val="top"/>
              <w:rPr>
                <w:rStyle w:val="16"/>
                <w:rFonts w:hint="default"/>
                <w:color w:val="0000FF"/>
                <w:lang w:bidi="ar"/>
              </w:rPr>
            </w:pPr>
          </w:p>
        </w:tc>
        <w:tc>
          <w:tcPr>
            <w:tcW w:w="1428"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接线盒</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(1)接线盒安装(接线盒 暗装 难燃聚氯乙烯暗装开关盒)</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个</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15</w:t>
            </w:r>
          </w:p>
        </w:tc>
        <w:tc>
          <w:tcPr>
            <w:tcW w:w="896" w:type="dxa"/>
            <w:vMerge w:val="continue"/>
            <w:shd w:val="clear" w:color="auto" w:fill="auto"/>
          </w:tcPr>
          <w:p>
            <w:pPr>
              <w:widowControl/>
              <w:jc w:val="left"/>
              <w:textAlignment w:val="top"/>
              <w:rPr>
                <w:rStyle w:val="16"/>
                <w:rFonts w:hint="default"/>
                <w:color w:val="0000FF"/>
                <w:lang w:bidi="ar"/>
              </w:rPr>
            </w:pPr>
          </w:p>
        </w:tc>
        <w:tc>
          <w:tcPr>
            <w:tcW w:w="1428"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配线</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(1)材质:铜芯</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(2)规格:RVV-0.5</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(3)名称:电气配线</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896" w:type="dxa"/>
            <w:vMerge w:val="continue"/>
            <w:shd w:val="clear" w:color="auto" w:fill="auto"/>
          </w:tcPr>
          <w:p>
            <w:pPr>
              <w:jc w:val="left"/>
              <w:rPr>
                <w:rFonts w:ascii="宋体" w:hAnsi="宋体" w:cs="宋体"/>
                <w:color w:val="0000FF"/>
                <w:sz w:val="18"/>
                <w:szCs w:val="18"/>
              </w:rPr>
            </w:pPr>
          </w:p>
        </w:tc>
        <w:tc>
          <w:tcPr>
            <w:tcW w:w="1428"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(4)配线形式:管内穿线</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16</w:t>
            </w:r>
          </w:p>
        </w:tc>
        <w:tc>
          <w:tcPr>
            <w:tcW w:w="896" w:type="dxa"/>
            <w:vMerge w:val="continue"/>
            <w:shd w:val="clear" w:color="auto" w:fill="auto"/>
          </w:tcPr>
          <w:p>
            <w:pPr>
              <w:widowControl/>
              <w:jc w:val="left"/>
              <w:textAlignment w:val="top"/>
              <w:rPr>
                <w:rStyle w:val="16"/>
                <w:rFonts w:hint="default"/>
                <w:color w:val="0000FF"/>
                <w:lang w:bidi="ar"/>
              </w:rPr>
            </w:pPr>
          </w:p>
        </w:tc>
        <w:tc>
          <w:tcPr>
            <w:tcW w:w="1428"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电力电缆头</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(1)1KV以下室内干包式铜芯电力电缆(电缆截面≤16mm2)</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个</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17</w:t>
            </w:r>
          </w:p>
        </w:tc>
        <w:tc>
          <w:tcPr>
            <w:tcW w:w="896" w:type="dxa"/>
            <w:vMerge w:val="continue"/>
            <w:shd w:val="clear" w:color="auto" w:fill="auto"/>
          </w:tcPr>
          <w:p>
            <w:pPr>
              <w:widowControl/>
              <w:jc w:val="left"/>
              <w:textAlignment w:val="top"/>
              <w:rPr>
                <w:rStyle w:val="16"/>
                <w:rFonts w:hint="default"/>
                <w:color w:val="0000FF"/>
                <w:lang w:bidi="ar"/>
              </w:rPr>
            </w:pPr>
          </w:p>
        </w:tc>
        <w:tc>
          <w:tcPr>
            <w:tcW w:w="1428"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装饰灯</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(1)LED灯带；（2）配置调节开关、开关电源</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18</w:t>
            </w:r>
          </w:p>
        </w:tc>
        <w:tc>
          <w:tcPr>
            <w:tcW w:w="896" w:type="dxa"/>
            <w:vMerge w:val="continue"/>
            <w:shd w:val="clear" w:color="auto" w:fill="auto"/>
          </w:tcPr>
          <w:p>
            <w:pPr>
              <w:widowControl/>
              <w:jc w:val="left"/>
              <w:textAlignment w:val="top"/>
              <w:rPr>
                <w:rStyle w:val="16"/>
                <w:rFonts w:hint="default"/>
                <w:color w:val="0000FF"/>
                <w:lang w:bidi="ar"/>
              </w:rPr>
            </w:pPr>
          </w:p>
        </w:tc>
        <w:tc>
          <w:tcPr>
            <w:tcW w:w="1428"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装饰灯</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冷库灯</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盏</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19</w:t>
            </w:r>
          </w:p>
        </w:tc>
        <w:tc>
          <w:tcPr>
            <w:tcW w:w="896" w:type="dxa"/>
            <w:vMerge w:val="continue"/>
            <w:shd w:val="clear" w:color="auto" w:fill="auto"/>
          </w:tcPr>
          <w:p>
            <w:pPr>
              <w:widowControl/>
              <w:jc w:val="left"/>
              <w:textAlignment w:val="top"/>
              <w:rPr>
                <w:rStyle w:val="16"/>
                <w:rFonts w:hint="default"/>
                <w:color w:val="0000FF"/>
                <w:lang w:bidi="ar"/>
              </w:rPr>
            </w:pPr>
          </w:p>
        </w:tc>
        <w:tc>
          <w:tcPr>
            <w:tcW w:w="1428"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照明开关</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(1)宽板按键式三极开关</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个</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20</w:t>
            </w:r>
          </w:p>
        </w:tc>
        <w:tc>
          <w:tcPr>
            <w:tcW w:w="896" w:type="dxa"/>
            <w:vMerge w:val="continue"/>
            <w:shd w:val="clear" w:color="auto" w:fill="auto"/>
          </w:tcPr>
          <w:p>
            <w:pPr>
              <w:widowControl/>
              <w:jc w:val="left"/>
              <w:textAlignment w:val="top"/>
              <w:rPr>
                <w:rStyle w:val="16"/>
                <w:rFonts w:hint="default"/>
                <w:color w:val="0000FF"/>
                <w:lang w:bidi="ar"/>
              </w:rPr>
            </w:pPr>
          </w:p>
        </w:tc>
        <w:tc>
          <w:tcPr>
            <w:tcW w:w="1428"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送配电装置系统</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(1)输配电装置系统调试(≤1kV交流供电)</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系统</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60</w:t>
            </w:r>
          </w:p>
        </w:tc>
      </w:tr>
    </w:tbl>
    <w:p>
      <w:pPr>
        <w:pStyle w:val="12"/>
        <w:spacing w:before="75" w:after="75"/>
        <w:ind w:firstLine="480"/>
        <w:rPr>
          <w:rFonts w:hint="default" w:ascii="宋体" w:hAnsi="宋体" w:eastAsia="宋体" w:cs="宋体"/>
          <w:b/>
          <w:color w:val="0000FF"/>
          <w:sz w:val="24"/>
          <w:lang w:eastAsia="zh-CN"/>
        </w:rPr>
      </w:pPr>
      <w:r>
        <w:rPr>
          <w:rFonts w:ascii="宋体" w:hAnsi="宋体" w:eastAsia="宋体" w:cs="宋体"/>
          <w:b/>
          <w:color w:val="0000FF"/>
          <w:sz w:val="24"/>
          <w:lang w:eastAsia="zh-CN"/>
        </w:rPr>
        <w:t>2.3.2 冷藏库技术参数及配套要求</w:t>
      </w:r>
    </w:p>
    <w:p/>
    <w:tbl>
      <w:tblPr>
        <w:tblStyle w:val="9"/>
        <w:tblW w:w="8426"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1162"/>
        <w:gridCol w:w="1162"/>
        <w:gridCol w:w="3585"/>
        <w:gridCol w:w="1000"/>
        <w:gridCol w:w="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序号</w:t>
            </w:r>
          </w:p>
        </w:tc>
        <w:tc>
          <w:tcPr>
            <w:tcW w:w="1162" w:type="dxa"/>
            <w:shd w:val="clear" w:color="auto" w:fill="auto"/>
          </w:tcPr>
          <w:p>
            <w:pPr>
              <w:widowControl/>
              <w:jc w:val="left"/>
              <w:textAlignment w:val="top"/>
              <w:rPr>
                <w:rStyle w:val="16"/>
                <w:rFonts w:hint="default"/>
                <w:color w:val="0000FF"/>
                <w:lang w:bidi="ar"/>
              </w:rPr>
            </w:pPr>
            <w:r>
              <w:rPr>
                <w:rStyle w:val="16"/>
                <w:rFonts w:hint="default"/>
                <w:color w:val="0000FF"/>
                <w:lang w:bidi="ar"/>
              </w:rPr>
              <w:t>分系统</w:t>
            </w:r>
          </w:p>
        </w:tc>
        <w:tc>
          <w:tcPr>
            <w:tcW w:w="1162"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项目名称</w:t>
            </w:r>
          </w:p>
        </w:tc>
        <w:tc>
          <w:tcPr>
            <w:tcW w:w="3585" w:type="dxa"/>
            <w:shd w:val="clear" w:color="auto" w:fill="auto"/>
          </w:tcPr>
          <w:p>
            <w:pPr>
              <w:jc w:val="left"/>
              <w:rPr>
                <w:rFonts w:ascii="宋体" w:hAnsi="宋体" w:cs="宋体"/>
                <w:color w:val="0000FF"/>
                <w:sz w:val="18"/>
                <w:szCs w:val="18"/>
              </w:rPr>
            </w:pPr>
            <w:r>
              <w:rPr>
                <w:rFonts w:hint="eastAsia" w:ascii="宋体" w:hAnsi="宋体" w:cs="宋体"/>
                <w:color w:val="0000FF"/>
                <w:sz w:val="18"/>
                <w:szCs w:val="18"/>
              </w:rPr>
              <w:t>项目特征描述</w:t>
            </w:r>
          </w:p>
        </w:tc>
        <w:tc>
          <w:tcPr>
            <w:tcW w:w="1000"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计量单位</w:t>
            </w:r>
          </w:p>
        </w:tc>
        <w:tc>
          <w:tcPr>
            <w:tcW w:w="904"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w:t>
            </w:r>
          </w:p>
        </w:tc>
        <w:tc>
          <w:tcPr>
            <w:tcW w:w="1162" w:type="dxa"/>
            <w:vMerge w:val="restart"/>
            <w:shd w:val="clear" w:color="auto" w:fill="auto"/>
          </w:tcPr>
          <w:p>
            <w:pPr>
              <w:widowControl/>
              <w:jc w:val="left"/>
              <w:textAlignment w:val="top"/>
              <w:rPr>
                <w:rStyle w:val="16"/>
                <w:rFonts w:hint="default"/>
                <w:color w:val="0000FF"/>
                <w:lang w:bidi="ar"/>
              </w:rPr>
            </w:pPr>
            <w:r>
              <w:rPr>
                <w:rStyle w:val="16"/>
                <w:rFonts w:hint="default"/>
                <w:color w:val="0000FF"/>
                <w:lang w:bidi="ar"/>
              </w:rPr>
              <w:t>制冷系统</w:t>
            </w: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空调器</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(1)风冷机组</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台</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(2)30HP冷冻中低温半封压缩机，环境温度+40℃，蒸发温度0℃。排气量126.8m³/h，制冷量31.8KW</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冷风机</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(1)冷风机 ,热氟化霜</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台</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(2)采用高效节能系銃，大片距防止过快节霜</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调节阀</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w:t>
            </w:r>
            <w:r>
              <w:rPr>
                <w:rStyle w:val="17"/>
                <w:color w:val="0000FF"/>
                <w:lang w:bidi="ar"/>
              </w:rPr>
              <w:t xml:space="preserve"> </w:t>
            </w:r>
            <w:r>
              <w:rPr>
                <w:rStyle w:val="16"/>
                <w:rFonts w:hint="default"/>
                <w:color w:val="0000FF"/>
                <w:lang w:bidi="ar"/>
              </w:rPr>
              <w:t>膨胀阀；</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台</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textAlignment w:val="top"/>
              <w:rPr>
                <w:rFonts w:ascii="宋体" w:hAnsi="宋体" w:cs="宋体"/>
                <w:color w:val="0000FF"/>
                <w:sz w:val="18"/>
                <w:szCs w:val="18"/>
              </w:rPr>
            </w:pPr>
            <w:r>
              <w:rPr>
                <w:rStyle w:val="16"/>
                <w:rFonts w:hint="default"/>
                <w:color w:val="0000FF"/>
                <w:lang w:bidi="ar"/>
              </w:rPr>
              <w:t>(2)</w:t>
            </w:r>
            <w:r>
              <w:rPr>
                <w:rStyle w:val="17"/>
                <w:color w:val="0000FF"/>
                <w:lang w:bidi="ar"/>
              </w:rPr>
              <w:t xml:space="preserve"> </w:t>
            </w:r>
            <w:r>
              <w:rPr>
                <w:rStyle w:val="16"/>
                <w:rFonts w:hint="default"/>
                <w:color w:val="0000FF"/>
                <w:lang w:bidi="ar"/>
              </w:rPr>
              <w:t>化霜三通阀</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(3)外平衡，可换芯式</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4</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钢管</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(1)优质无缝钢管Φ57mm</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(2)氩弧焊</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(3)室内</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(4)冷媒管</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(5)水压试验及水冲洗</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5</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钢管</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(1)优质无缝钢管Φ45mm</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(2)氩弧焊</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(3)室内</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(4)冷媒管</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(5)水压试验及水冲洗</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6</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钢管</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(1)优质无缝钢管Φ32mm</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(2)氩弧焊</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(3)室内</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(4)冷媒管</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(5)水压试验及水冲洗</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7</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铜管</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(1)优质无磷无缝紫铜管(钎焊) Φ16mm</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(2)钎焊</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(3)室内</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(4)冷媒管</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(5)水压试验及水冲洗</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8</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设备支架</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(1)角钢</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kg</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(2)吊装空调弹簧减震支架</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9</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管道支架</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(1)型钢</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kg</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(2)管道支吊架</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10</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金属结构刷油</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(1)手工除锈(一般钢结构 轻锈)</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kg</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(2)红丹防锈漆、调和漆</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(3)红丹防锈漆、调和漆各两道</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6"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11</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管道绝热</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绝热材料品种：难燃B1级橡塑隔热材料，整体达到难燃B1级(GB8624-2012),导热系数≤0.033w/m.k(0℃),真空吸水率≤5%,湿阻因子≥10000,产烟毒性为t1级,保温材料与管的接缝处必须胶接密实,并采用配套胶水及胶带封口,不得有泄漏空气的隐患</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m3</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(2)绝热厚度：</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613" w:type="dxa"/>
            <w:vMerge w:val="restart"/>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(3)Φ12.7mm&lt;x≤Φ25.4mm，δ20mm或以上</w:t>
            </w:r>
          </w:p>
        </w:tc>
        <w:tc>
          <w:tcPr>
            <w:tcW w:w="1000" w:type="dxa"/>
            <w:vMerge w:val="restart"/>
            <w:shd w:val="clear" w:color="auto" w:fill="auto"/>
          </w:tcPr>
          <w:p>
            <w:pPr>
              <w:jc w:val="center"/>
              <w:rPr>
                <w:rFonts w:ascii="宋体" w:hAnsi="宋体" w:cs="宋体"/>
                <w:color w:val="0000FF"/>
                <w:sz w:val="18"/>
                <w:szCs w:val="18"/>
              </w:rPr>
            </w:pPr>
          </w:p>
        </w:tc>
        <w:tc>
          <w:tcPr>
            <w:tcW w:w="904" w:type="dxa"/>
            <w:vMerge w:val="restart"/>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(4)Φ28.6mm≤X，δ25mm或以上</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12</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冷媒剂</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(1)冷媒</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瓶</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(2)巨化原装环保型R507</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13</w:t>
            </w:r>
          </w:p>
        </w:tc>
        <w:tc>
          <w:tcPr>
            <w:tcW w:w="1162" w:type="dxa"/>
            <w:vMerge w:val="restart"/>
            <w:shd w:val="clear" w:color="auto" w:fill="auto"/>
          </w:tcPr>
          <w:p>
            <w:pPr>
              <w:widowControl/>
              <w:jc w:val="left"/>
              <w:textAlignment w:val="top"/>
            </w:pPr>
            <w:r>
              <w:rPr>
                <w:rStyle w:val="16"/>
                <w:rFonts w:hint="default"/>
                <w:color w:val="0000FF"/>
                <w:lang w:bidi="ar"/>
              </w:rPr>
              <w:t>保温材料</w:t>
            </w: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保温隔热墙面</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(1)聚氨酯冷库板150mm</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m2</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(2)0.426mm双面加强型彩钢.密度40±2㎏）阻燃B1级</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13" w:type="dxa"/>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Style w:val="16"/>
                <w:rFonts w:hint="default"/>
                <w:color w:val="0000FF"/>
                <w:lang w:bidi="ar"/>
              </w:rPr>
            </w:pPr>
            <w:r>
              <w:rPr>
                <w:rStyle w:val="16"/>
                <w:rFonts w:hint="default"/>
                <w:color w:val="0000FF"/>
                <w:lang w:bidi="ar"/>
              </w:rPr>
              <w:t>6.1*14.3+6.1*4.9*2+14.3*4.9*2</w:t>
            </w:r>
          </w:p>
        </w:tc>
        <w:tc>
          <w:tcPr>
            <w:tcW w:w="1000" w:type="dxa"/>
            <w:shd w:val="clear" w:color="auto" w:fill="auto"/>
          </w:tcPr>
          <w:p>
            <w:pPr>
              <w:jc w:val="center"/>
              <w:rPr>
                <w:rFonts w:ascii="宋体" w:hAnsi="宋体" w:cs="宋体"/>
                <w:color w:val="0000FF"/>
                <w:sz w:val="18"/>
                <w:szCs w:val="18"/>
              </w:rPr>
            </w:pPr>
          </w:p>
        </w:tc>
        <w:tc>
          <w:tcPr>
            <w:tcW w:w="904"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287.15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14</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保温隔热墙面</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(1)聚氨酯冷库板100mm</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m2</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highlight w:val="red"/>
              </w:rPr>
            </w:pPr>
          </w:p>
        </w:tc>
        <w:tc>
          <w:tcPr>
            <w:tcW w:w="3585" w:type="dxa"/>
            <w:shd w:val="clear" w:color="auto" w:fill="auto"/>
          </w:tcPr>
          <w:p>
            <w:pPr>
              <w:widowControl/>
              <w:jc w:val="left"/>
              <w:textAlignment w:val="top"/>
              <w:rPr>
                <w:rFonts w:ascii="宋体" w:hAnsi="宋体" w:cs="宋体"/>
                <w:color w:val="0000FF"/>
                <w:sz w:val="18"/>
                <w:szCs w:val="18"/>
                <w:highlight w:val="red"/>
              </w:rPr>
            </w:pPr>
            <w:r>
              <w:rPr>
                <w:rStyle w:val="16"/>
                <w:rFonts w:hint="default"/>
                <w:color w:val="0000FF"/>
                <w:lang w:bidi="ar"/>
              </w:rPr>
              <w:t>(2)0.426mm双面加强型彩钢.密度40±2㎏）阻燃B1级</w:t>
            </w:r>
          </w:p>
        </w:tc>
        <w:tc>
          <w:tcPr>
            <w:tcW w:w="1000" w:type="dxa"/>
            <w:vMerge w:val="continue"/>
            <w:shd w:val="clear" w:color="auto" w:fill="auto"/>
          </w:tcPr>
          <w:p>
            <w:pPr>
              <w:jc w:val="center"/>
              <w:rPr>
                <w:rFonts w:ascii="宋体" w:hAnsi="宋体" w:cs="宋体"/>
                <w:color w:val="0000FF"/>
                <w:sz w:val="18"/>
                <w:szCs w:val="18"/>
                <w:highlight w:val="red"/>
              </w:rPr>
            </w:pPr>
          </w:p>
        </w:tc>
        <w:tc>
          <w:tcPr>
            <w:tcW w:w="904" w:type="dxa"/>
            <w:vMerge w:val="continue"/>
            <w:shd w:val="clear" w:color="auto" w:fill="auto"/>
          </w:tcPr>
          <w:p>
            <w:pPr>
              <w:jc w:val="center"/>
              <w:rPr>
                <w:rFonts w:ascii="宋体" w:hAnsi="宋体" w:cs="宋体"/>
                <w:color w:val="0000FF"/>
                <w:sz w:val="18"/>
                <w:szCs w:val="18"/>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15</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特种门</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(1)库门 0.426mm双面加强型彩钢（2100*2700）平开门</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m2</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16</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保温隔热楼地面</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(1)XPS挤塑板</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m2</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highlight w:val="yellow"/>
                <w:lang w:bidi="ar"/>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(2)地面保温15CM</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17</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防水层</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丙纶布</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m2</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highlight w:val="yellow"/>
                <w:lang w:bidi="ar"/>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18</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防潮层</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PE膜</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m2</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highlight w:val="yellow"/>
                <w:lang w:bidi="ar"/>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19</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空调水工程系统调试</w:t>
            </w:r>
          </w:p>
        </w:tc>
        <w:tc>
          <w:tcPr>
            <w:tcW w:w="3585" w:type="dxa"/>
            <w:shd w:val="clear" w:color="auto" w:fill="auto"/>
          </w:tcPr>
          <w:p>
            <w:pPr>
              <w:jc w:val="left"/>
              <w:rPr>
                <w:rFonts w:ascii="宋体" w:hAnsi="宋体" w:cs="宋体"/>
                <w:color w:val="0000FF"/>
                <w:sz w:val="18"/>
                <w:szCs w:val="18"/>
              </w:rPr>
            </w:pPr>
            <w:r>
              <w:rPr>
                <w:rStyle w:val="16"/>
                <w:rFonts w:hint="default"/>
                <w:color w:val="0000FF"/>
                <w:lang w:bidi="ar"/>
              </w:rPr>
              <w:t>空调水工程系统调试</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系统</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20</w:t>
            </w:r>
          </w:p>
        </w:tc>
        <w:tc>
          <w:tcPr>
            <w:tcW w:w="1162" w:type="dxa"/>
            <w:vMerge w:val="restart"/>
            <w:shd w:val="clear" w:color="auto" w:fill="auto"/>
          </w:tcPr>
          <w:p>
            <w:pPr>
              <w:widowControl/>
              <w:jc w:val="left"/>
              <w:textAlignment w:val="top"/>
              <w:rPr>
                <w:rStyle w:val="16"/>
                <w:rFonts w:hint="default"/>
                <w:color w:val="0000FF"/>
                <w:lang w:bidi="ar"/>
              </w:rPr>
            </w:pPr>
            <w:r>
              <w:rPr>
                <w:rStyle w:val="16"/>
                <w:rFonts w:hint="default"/>
                <w:color w:val="0000FF"/>
                <w:lang w:bidi="ar"/>
              </w:rPr>
              <w:t>电气工程</w:t>
            </w: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配电箱</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(1)名称:成套配电箱安装 AP1</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台</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(2)安装方式:明装</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(3)接地</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21</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配管</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(1)材质:JDG管</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(2)规格:DN20</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(3)配置形式:钢结构支架配管</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22</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配管</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(1)材质:JDG管</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(2)规格:DN40</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(3)配置形式:钢结构支架配管</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23</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接线盒</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(1)接线盒安装(接线盒 暗装 难燃聚氯乙烯暗装灯头盒)</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个</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24</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配线</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(1)材质:铜芯</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(2)规格:YJV-2*0.5</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(3)名称:电气配线</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(4)配线形式:管内穿线</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25</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配线</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(1)材质:铜芯</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(2)规格:RVVP-2*0.5</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(3)名称:电气配线</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(4)配线形式:管内穿线</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26</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配线</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(1)材质:铜芯</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(2)规格:YJV-3*0.75</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(3)名称:电气配线</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(4)配线形式:管内穿线</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27</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电力电缆</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(1)YJV-3*1.5</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(2)铜芯</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(3)电力电缆敷设</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28</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电力电缆</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(1)YJV-3*25+2*16</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(2)铜芯</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(3)电力电缆敷设</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29</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电力电缆头</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(1)1KV以下室内干包式铜芯电力电缆 3*25+2*16</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个</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30</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工厂灯</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(1)库灯LED</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套</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(2)冷库专用可耐低温-30度</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14</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送配电装置系统</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(1)输配电装置系统调试(≤1kV交流供电)</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系统</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w:t>
            </w:r>
          </w:p>
        </w:tc>
      </w:tr>
    </w:tbl>
    <w:p>
      <w:pPr>
        <w:pStyle w:val="12"/>
        <w:spacing w:before="75" w:after="75"/>
        <w:ind w:firstLine="480"/>
        <w:rPr>
          <w:rFonts w:hint="default" w:ascii="宋体" w:hAnsi="宋体" w:eastAsia="宋体" w:cs="宋体"/>
          <w:b/>
          <w:color w:val="0000FF"/>
          <w:sz w:val="24"/>
          <w:lang w:eastAsia="zh-CN"/>
        </w:rPr>
      </w:pPr>
      <w:r>
        <w:rPr>
          <w:rFonts w:ascii="宋体" w:hAnsi="宋体" w:eastAsia="宋体" w:cs="宋体"/>
          <w:b/>
          <w:color w:val="0000FF"/>
          <w:sz w:val="24"/>
          <w:lang w:eastAsia="zh-CN"/>
        </w:rPr>
        <w:t>2.3.2 保鲜库技术参数及配套要求</w:t>
      </w:r>
    </w:p>
    <w:p/>
    <w:tbl>
      <w:tblPr>
        <w:tblStyle w:val="9"/>
        <w:tblW w:w="8426"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1162"/>
        <w:gridCol w:w="1162"/>
        <w:gridCol w:w="3585"/>
        <w:gridCol w:w="1000"/>
        <w:gridCol w:w="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jc w:val="center"/>
              <w:rPr>
                <w:rFonts w:ascii="宋体" w:hAnsi="宋体" w:cs="宋体"/>
                <w:color w:val="0000FF"/>
                <w:sz w:val="18"/>
                <w:szCs w:val="18"/>
                <w:highlight w:val="red"/>
              </w:rPr>
            </w:pPr>
            <w:r>
              <w:rPr>
                <w:rFonts w:hint="eastAsia" w:ascii="宋体" w:hAnsi="宋体" w:cs="宋体"/>
                <w:color w:val="0000FF"/>
                <w:sz w:val="18"/>
                <w:szCs w:val="18"/>
              </w:rPr>
              <w:t>序号</w:t>
            </w:r>
          </w:p>
        </w:tc>
        <w:tc>
          <w:tcPr>
            <w:tcW w:w="1162" w:type="dxa"/>
            <w:shd w:val="clear" w:color="auto" w:fill="auto"/>
          </w:tcPr>
          <w:p>
            <w:pPr>
              <w:widowControl/>
              <w:jc w:val="left"/>
              <w:textAlignment w:val="top"/>
              <w:rPr>
                <w:rStyle w:val="16"/>
                <w:rFonts w:hint="default"/>
                <w:color w:val="0000FF"/>
                <w:lang w:bidi="ar"/>
              </w:rPr>
            </w:pPr>
            <w:r>
              <w:rPr>
                <w:rStyle w:val="16"/>
                <w:rFonts w:hint="default"/>
                <w:color w:val="0000FF"/>
                <w:lang w:bidi="ar"/>
              </w:rPr>
              <w:t>分系统</w:t>
            </w:r>
          </w:p>
        </w:tc>
        <w:tc>
          <w:tcPr>
            <w:tcW w:w="1162"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项目名称</w:t>
            </w:r>
          </w:p>
        </w:tc>
        <w:tc>
          <w:tcPr>
            <w:tcW w:w="3585" w:type="dxa"/>
            <w:shd w:val="clear" w:color="auto" w:fill="auto"/>
          </w:tcPr>
          <w:p>
            <w:pPr>
              <w:jc w:val="left"/>
              <w:rPr>
                <w:rFonts w:ascii="宋体" w:hAnsi="宋体" w:cs="宋体"/>
                <w:color w:val="0000FF"/>
                <w:sz w:val="18"/>
                <w:szCs w:val="18"/>
              </w:rPr>
            </w:pPr>
            <w:r>
              <w:rPr>
                <w:rFonts w:hint="eastAsia" w:ascii="宋体" w:hAnsi="宋体" w:cs="宋体"/>
                <w:color w:val="0000FF"/>
                <w:sz w:val="18"/>
                <w:szCs w:val="18"/>
              </w:rPr>
              <w:t>项目特征描述</w:t>
            </w:r>
          </w:p>
        </w:tc>
        <w:tc>
          <w:tcPr>
            <w:tcW w:w="1000"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计量单位</w:t>
            </w:r>
          </w:p>
        </w:tc>
        <w:tc>
          <w:tcPr>
            <w:tcW w:w="904"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w:t>
            </w:r>
          </w:p>
        </w:tc>
        <w:tc>
          <w:tcPr>
            <w:tcW w:w="1162" w:type="dxa"/>
            <w:vMerge w:val="restart"/>
            <w:shd w:val="clear" w:color="auto" w:fill="auto"/>
          </w:tcPr>
          <w:p>
            <w:pPr>
              <w:widowControl/>
              <w:jc w:val="left"/>
              <w:textAlignment w:val="top"/>
              <w:rPr>
                <w:rStyle w:val="16"/>
                <w:rFonts w:hint="default"/>
                <w:color w:val="0000FF"/>
                <w:lang w:bidi="ar"/>
              </w:rPr>
            </w:pPr>
            <w:r>
              <w:rPr>
                <w:rStyle w:val="16"/>
                <w:rFonts w:hint="default"/>
                <w:color w:val="0000FF"/>
                <w:lang w:bidi="ar"/>
              </w:rPr>
              <w:t>制冷系统</w:t>
            </w: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空调器</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(1)风冷机组</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台</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(2)40HP冷冻高温半封压缩机，环境温度+40℃，蒸发温度0℃。排气量126.8m³/h，制冷量65.5KW</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冷风机</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(1)冷风机</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台</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(2)采用高效节能系銃，大片距防止过快节霜</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调节阀</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(1)膨胀阀</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台</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(2)外平衡，可换芯式</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4</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钢管</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(1)优质无缝钢管Φ45mm</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(2)氩弧焊</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(3)室内</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(4)冷媒管</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(5)水压试验及水冲洗</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5</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钢管</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(1)优质无缝钢管Φ38mm</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(2)氩弧焊</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(3)室内</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(4)冷媒管</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(5)水压试验及水冲洗</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6</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铜管</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(1)优质无磷无缝紫铜管(钎焊) Φ16</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(2)钎焊</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(3)室内</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(4)冷媒管</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(5)水压试验及水冲洗</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7</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设备支架</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(1)角钢</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kg</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(2)吊装空调弹簧减震支架</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8</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管道支架</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(1)型钢</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kg</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(2)管道支吊架</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9</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金属结构刷油</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(1)手工除锈(一般钢结构 轻锈)</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kg</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(2)红丹防锈漆、调和漆</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(3)红丹防锈漆、调和漆各两道</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10</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管道绝热</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绝热材料品种：难燃B1级橡塑隔热材料，整体达到难燃B1级(GB8624-2012),导热系数≤0.033w/m.k(0℃),真空吸水率≤5%,湿阻因子≥10000,产烟毒性为t1级,保温材料与管的接缝处必须胶接密实,并采用配套胶水及胶带封口,不得有泄漏空气的隐患</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m3</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(2)绝热厚度：</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(3)Φ12.7mm&lt;x≤Φ25.4mm，δ20mm或以上</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(4)Φ28.6mm≤X，δ25mm或以上</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11</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冷媒剂</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(1)冷媒</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瓶</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(2)巨化原装环保型R507</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12</w:t>
            </w:r>
          </w:p>
        </w:tc>
        <w:tc>
          <w:tcPr>
            <w:tcW w:w="1162" w:type="dxa"/>
            <w:vMerge w:val="restart"/>
            <w:shd w:val="clear" w:color="auto" w:fill="auto"/>
          </w:tcPr>
          <w:p>
            <w:pPr>
              <w:widowControl/>
              <w:jc w:val="left"/>
              <w:textAlignment w:val="top"/>
              <w:rPr>
                <w:rStyle w:val="16"/>
                <w:rFonts w:hint="default"/>
                <w:color w:val="0000FF"/>
                <w:lang w:bidi="ar"/>
              </w:rPr>
            </w:pPr>
            <w:r>
              <w:rPr>
                <w:rStyle w:val="16"/>
                <w:rFonts w:hint="default"/>
                <w:color w:val="0000FF"/>
                <w:lang w:bidi="ar"/>
              </w:rPr>
              <w:t>保温材料</w:t>
            </w: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保温隔热墙面</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(1)聚氨酯冷库板100mm</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m2</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(2)0.426mm双面加强型彩钢.密度40±2㎏）阻燃B1级</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13" w:type="dxa"/>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Style w:val="16"/>
                <w:rFonts w:hint="default"/>
                <w:color w:val="0000FF"/>
                <w:lang w:bidi="ar"/>
              </w:rPr>
            </w:pPr>
            <w:r>
              <w:rPr>
                <w:rStyle w:val="16"/>
                <w:rFonts w:hint="default"/>
                <w:color w:val="0000FF"/>
                <w:lang w:bidi="ar"/>
              </w:rPr>
              <w:t>18.3*14.3+18.3*4.9*2+14.3*4.9</w:t>
            </w:r>
          </w:p>
        </w:tc>
        <w:tc>
          <w:tcPr>
            <w:tcW w:w="1000" w:type="dxa"/>
            <w:shd w:val="clear" w:color="auto" w:fill="auto"/>
          </w:tcPr>
          <w:p>
            <w:pPr>
              <w:jc w:val="center"/>
              <w:rPr>
                <w:rFonts w:ascii="宋体" w:hAnsi="宋体" w:cs="宋体"/>
                <w:color w:val="0000FF"/>
                <w:sz w:val="18"/>
                <w:szCs w:val="18"/>
              </w:rPr>
            </w:pPr>
          </w:p>
        </w:tc>
        <w:tc>
          <w:tcPr>
            <w:tcW w:w="904"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highlight w:val="yellow"/>
              </w:rPr>
              <w:t>511.1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13</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特种门</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(1)库门 0.426mm双面加强型彩钢（2100*2700）平开门，</w:t>
            </w:r>
            <w:r>
              <w:rPr>
                <w:rStyle w:val="16"/>
                <w:rFonts w:hint="default"/>
                <w:color w:val="0000FF"/>
                <w:highlight w:val="yellow"/>
                <w:lang w:bidi="ar"/>
              </w:rPr>
              <w:t>配风幕机</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m2</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14</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保温隔热楼地面</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(1)SPU挤塑板</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m2</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highlight w:val="yellow"/>
                <w:lang w:bidi="ar"/>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(2)地面保温10CM</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16</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防水层</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丙纶布</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m2</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highlight w:val="yellow"/>
                <w:lang w:bidi="ar"/>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17</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防潮层</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PE膜</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m2</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highlight w:val="yellow"/>
                <w:lang w:bidi="ar"/>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18</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空调水工程系统调试</w:t>
            </w:r>
          </w:p>
        </w:tc>
        <w:tc>
          <w:tcPr>
            <w:tcW w:w="3585" w:type="dxa"/>
            <w:shd w:val="clear" w:color="auto" w:fill="auto"/>
          </w:tcPr>
          <w:p>
            <w:pPr>
              <w:jc w:val="left"/>
              <w:rPr>
                <w:rFonts w:ascii="宋体" w:hAnsi="宋体" w:cs="宋体"/>
                <w:color w:val="0000FF"/>
                <w:sz w:val="18"/>
                <w:szCs w:val="18"/>
              </w:rPr>
            </w:pPr>
            <w:r>
              <w:rPr>
                <w:rStyle w:val="16"/>
                <w:rFonts w:hint="default"/>
                <w:color w:val="0000FF"/>
                <w:lang w:bidi="ar"/>
              </w:rPr>
              <w:t>空调水工程系统调试</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系统</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19</w:t>
            </w:r>
          </w:p>
        </w:tc>
        <w:tc>
          <w:tcPr>
            <w:tcW w:w="1162" w:type="dxa"/>
            <w:vMerge w:val="restart"/>
            <w:shd w:val="clear" w:color="auto" w:fill="auto"/>
          </w:tcPr>
          <w:p>
            <w:pPr>
              <w:widowControl/>
              <w:jc w:val="left"/>
              <w:textAlignment w:val="top"/>
              <w:rPr>
                <w:rStyle w:val="16"/>
                <w:rFonts w:hint="default"/>
                <w:color w:val="0000FF"/>
                <w:lang w:bidi="ar"/>
              </w:rPr>
            </w:pPr>
            <w:r>
              <w:rPr>
                <w:rStyle w:val="16"/>
                <w:rFonts w:hint="default"/>
                <w:color w:val="0000FF"/>
                <w:lang w:bidi="ar"/>
              </w:rPr>
              <w:t>电气工程</w:t>
            </w: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配电箱</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(1)名称:成套配电箱安装 AP1</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台</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(2)安装方式:明装</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(3)接地</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20</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配管</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(1)材质:JDG管</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(2)规格:DN20</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(3)配置形式:钢结构支架配管</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21</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配管</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(1)材质:JDG管</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(2)规格:DN40</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(3)配置形式:钢结构支架配管</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22</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接线盒</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(1)接线盒安装(接线盒 暗装 难燃聚氯乙烯暗装灯头盒)</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个</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23</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配线</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(1)材质:铜芯</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309.9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(2)规格:BYJ-2.5</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(3)名称:电气配线</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(4)配线形式:管内穿线</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24</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配线</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(1)材质:铜芯</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(2)规格:YJV-2*0.5</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(3)名称:电气配线</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(4)配线形式:管内穿线</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25</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配线</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(1)材质:铜芯</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(2)规格:RVVP-2*0.5</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(3)名称:电气配线</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(4)配线形式:管内穿线</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26</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配线</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(1)材质:铜芯</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10</w:t>
            </w:r>
          </w:p>
        </w:tc>
      </w:tr>
      <w:tr>
        <w:tblPrEx>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(2)规格:YJV-3*0.75</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(3)名称:电气配线</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(4)配线形式:管内穿线</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27</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电力电缆</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(1)YJV-4*4</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(2)铜芯</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(3)电力电缆敷设</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28</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电力电缆</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(1)YJV-3*1.5</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(2)铜芯</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(3)电力电缆敷设</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29</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电力电缆</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(1)YJV-3*25+2*16</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m</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(2)铜芯</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(3)电力电缆敷设</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30</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电力电缆头</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(1)1KV以下室内干包式铜芯电力电缆 3*25+2*16</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个</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31</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工厂灯</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(1)库灯LED</w:t>
            </w:r>
          </w:p>
        </w:tc>
        <w:tc>
          <w:tcPr>
            <w:tcW w:w="1000" w:type="dxa"/>
            <w:vMerge w:val="restart"/>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套</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(2)冷库专用可耐低温-30度</w:t>
            </w:r>
          </w:p>
        </w:tc>
        <w:tc>
          <w:tcPr>
            <w:tcW w:w="1000" w:type="dxa"/>
            <w:vMerge w:val="continue"/>
            <w:shd w:val="clear" w:color="auto" w:fill="auto"/>
          </w:tcPr>
          <w:p>
            <w:pPr>
              <w:jc w:val="center"/>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13"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32</w:t>
            </w:r>
          </w:p>
        </w:tc>
        <w:tc>
          <w:tcPr>
            <w:tcW w:w="1162" w:type="dxa"/>
            <w:vMerge w:val="continue"/>
            <w:shd w:val="clear" w:color="auto" w:fill="auto"/>
          </w:tcPr>
          <w:p>
            <w:pPr>
              <w:widowControl/>
              <w:jc w:val="left"/>
              <w:textAlignment w:val="top"/>
              <w:rPr>
                <w:rStyle w:val="16"/>
                <w:rFonts w:hint="default"/>
                <w:color w:val="0000FF"/>
                <w:lang w:bidi="ar"/>
              </w:rPr>
            </w:pPr>
          </w:p>
        </w:tc>
        <w:tc>
          <w:tcPr>
            <w:tcW w:w="1162"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送配电装置系统</w:t>
            </w:r>
          </w:p>
        </w:tc>
        <w:tc>
          <w:tcPr>
            <w:tcW w:w="358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(1)输配电装置系统调试(≤1kV交流供电)</w:t>
            </w:r>
          </w:p>
        </w:tc>
        <w:tc>
          <w:tcPr>
            <w:tcW w:w="1000" w:type="dxa"/>
            <w:shd w:val="clear" w:color="auto" w:fill="auto"/>
          </w:tcPr>
          <w:p>
            <w:pPr>
              <w:widowControl/>
              <w:jc w:val="center"/>
              <w:textAlignment w:val="top"/>
              <w:rPr>
                <w:rFonts w:ascii="宋体" w:hAnsi="宋体" w:cs="宋体"/>
                <w:color w:val="0000FF"/>
                <w:sz w:val="18"/>
                <w:szCs w:val="18"/>
              </w:rPr>
            </w:pPr>
            <w:r>
              <w:rPr>
                <w:rStyle w:val="16"/>
                <w:rFonts w:hint="default"/>
                <w:color w:val="0000FF"/>
                <w:lang w:bidi="ar"/>
              </w:rPr>
              <w:t>系统</w:t>
            </w:r>
          </w:p>
        </w:tc>
        <w:tc>
          <w:tcPr>
            <w:tcW w:w="904"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w:t>
            </w:r>
          </w:p>
        </w:tc>
      </w:tr>
    </w:tbl>
    <w:p>
      <w:pPr>
        <w:pStyle w:val="12"/>
        <w:spacing w:before="75" w:after="75"/>
        <w:ind w:firstLine="480"/>
        <w:rPr>
          <w:rFonts w:hint="default" w:ascii="宋体" w:hAnsi="宋体" w:eastAsia="宋体" w:cs="宋体"/>
          <w:b/>
          <w:color w:val="0000FF"/>
          <w:sz w:val="24"/>
          <w:lang w:eastAsia="zh-CN"/>
        </w:rPr>
      </w:pPr>
      <w:r>
        <w:rPr>
          <w:rFonts w:ascii="宋体" w:hAnsi="宋体" w:eastAsia="宋体" w:cs="宋体"/>
          <w:b/>
          <w:color w:val="0000FF"/>
          <w:sz w:val="24"/>
          <w:lang w:eastAsia="zh-CN"/>
        </w:rPr>
        <w:t>2.3.3 菇架技术参数及配套要求</w:t>
      </w:r>
    </w:p>
    <w:p/>
    <w:tbl>
      <w:tblPr>
        <w:tblStyle w:val="9"/>
        <w:tblW w:w="8398"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0"/>
        <w:gridCol w:w="1195"/>
        <w:gridCol w:w="4715"/>
        <w:gridCol w:w="981"/>
        <w:gridCol w:w="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630" w:type="dxa"/>
            <w:shd w:val="clear" w:color="auto" w:fill="auto"/>
          </w:tcPr>
          <w:p>
            <w:pPr>
              <w:jc w:val="center"/>
              <w:rPr>
                <w:rFonts w:ascii="宋体" w:hAnsi="宋体" w:cs="宋体"/>
                <w:color w:val="0000FF"/>
                <w:sz w:val="18"/>
                <w:szCs w:val="18"/>
                <w:highlight w:val="red"/>
              </w:rPr>
            </w:pPr>
            <w:r>
              <w:rPr>
                <w:rFonts w:hint="eastAsia" w:ascii="宋体" w:hAnsi="宋体" w:cs="宋体"/>
                <w:color w:val="0000FF"/>
                <w:sz w:val="18"/>
                <w:szCs w:val="18"/>
              </w:rPr>
              <w:t>序号</w:t>
            </w:r>
          </w:p>
        </w:tc>
        <w:tc>
          <w:tcPr>
            <w:tcW w:w="1195"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项目名称</w:t>
            </w:r>
          </w:p>
        </w:tc>
        <w:tc>
          <w:tcPr>
            <w:tcW w:w="4715" w:type="dxa"/>
            <w:shd w:val="clear" w:color="auto" w:fill="auto"/>
          </w:tcPr>
          <w:p>
            <w:pPr>
              <w:jc w:val="left"/>
              <w:rPr>
                <w:rFonts w:ascii="宋体" w:hAnsi="宋体" w:cs="宋体"/>
                <w:color w:val="0000FF"/>
                <w:sz w:val="18"/>
                <w:szCs w:val="18"/>
              </w:rPr>
            </w:pPr>
            <w:r>
              <w:rPr>
                <w:rFonts w:hint="eastAsia" w:ascii="宋体" w:hAnsi="宋体" w:cs="宋体"/>
                <w:color w:val="0000FF"/>
                <w:sz w:val="18"/>
                <w:szCs w:val="18"/>
              </w:rPr>
              <w:t>项目特征描述</w:t>
            </w:r>
          </w:p>
        </w:tc>
        <w:tc>
          <w:tcPr>
            <w:tcW w:w="981"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计量单位</w:t>
            </w:r>
          </w:p>
        </w:tc>
        <w:tc>
          <w:tcPr>
            <w:tcW w:w="877"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trPr>
        <w:tc>
          <w:tcPr>
            <w:tcW w:w="630"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w:t>
            </w:r>
          </w:p>
        </w:tc>
        <w:tc>
          <w:tcPr>
            <w:tcW w:w="1195"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银耳育菇架</w:t>
            </w:r>
          </w:p>
        </w:tc>
        <w:tc>
          <w:tcPr>
            <w:tcW w:w="4715" w:type="dxa"/>
            <w:shd w:val="clear" w:color="auto" w:fill="auto"/>
          </w:tcPr>
          <w:p>
            <w:pPr>
              <w:rPr>
                <w:rFonts w:ascii="宋体" w:hAnsi="宋体" w:cs="宋体"/>
                <w:color w:val="0000FF"/>
                <w:sz w:val="18"/>
                <w:szCs w:val="18"/>
              </w:rPr>
            </w:pPr>
            <w:r>
              <w:rPr>
                <w:rStyle w:val="16"/>
                <w:rFonts w:hint="default"/>
                <w:color w:val="0000FF"/>
                <w:lang w:bidi="ar"/>
              </w:rPr>
              <w:t>(1)</w:t>
            </w:r>
            <w:r>
              <w:rPr>
                <w:rStyle w:val="17"/>
                <w:color w:val="0000FF"/>
                <w:lang w:bidi="ar"/>
              </w:rPr>
              <w:t xml:space="preserve">  </w:t>
            </w:r>
            <w:r>
              <w:rPr>
                <w:rStyle w:val="16"/>
                <w:rFonts w:hint="default"/>
                <w:color w:val="0000FF"/>
                <w:lang w:bidi="ar"/>
              </w:rPr>
              <w:t>银耳菇架双排架 12M*0.85M*4M*15层，银耳菇架单排架 12M*0.45M*4M*15层（含运输及安装），每间银耳房单排架2架、双排架1架</w:t>
            </w:r>
          </w:p>
        </w:tc>
        <w:tc>
          <w:tcPr>
            <w:tcW w:w="981" w:type="dxa"/>
            <w:vMerge w:val="restart"/>
            <w:shd w:val="clear" w:color="auto" w:fill="auto"/>
          </w:tcPr>
          <w:p>
            <w:pPr>
              <w:widowControl/>
              <w:jc w:val="center"/>
              <w:textAlignment w:val="top"/>
              <w:rPr>
                <w:rFonts w:ascii="宋体" w:hAnsi="宋体" w:cs="宋体"/>
                <w:color w:val="0000FF"/>
                <w:kern w:val="0"/>
                <w:sz w:val="18"/>
                <w:szCs w:val="18"/>
                <w:lang w:bidi="ar"/>
              </w:rPr>
            </w:pPr>
            <w:r>
              <w:rPr>
                <w:rFonts w:hint="eastAsia" w:ascii="宋体" w:hAnsi="宋体" w:cs="宋体"/>
                <w:color w:val="0000FF"/>
                <w:kern w:val="0"/>
                <w:sz w:val="18"/>
                <w:szCs w:val="18"/>
                <w:lang w:bidi="ar"/>
              </w:rPr>
              <w:t>间</w:t>
            </w:r>
          </w:p>
        </w:tc>
        <w:tc>
          <w:tcPr>
            <w:tcW w:w="877"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630" w:type="dxa"/>
            <w:vMerge w:val="continue"/>
            <w:shd w:val="clear" w:color="auto" w:fill="auto"/>
          </w:tcPr>
          <w:p>
            <w:pPr>
              <w:jc w:val="center"/>
              <w:rPr>
                <w:rFonts w:ascii="宋体" w:hAnsi="宋体" w:cs="宋体"/>
                <w:color w:val="0000FF"/>
                <w:sz w:val="18"/>
                <w:szCs w:val="18"/>
              </w:rPr>
            </w:pPr>
          </w:p>
        </w:tc>
        <w:tc>
          <w:tcPr>
            <w:tcW w:w="1195" w:type="dxa"/>
            <w:vMerge w:val="continue"/>
            <w:shd w:val="clear" w:color="auto" w:fill="auto"/>
          </w:tcPr>
          <w:p>
            <w:pPr>
              <w:jc w:val="left"/>
              <w:rPr>
                <w:rFonts w:ascii="宋体" w:hAnsi="宋体" w:cs="宋体"/>
                <w:color w:val="0000FF"/>
                <w:sz w:val="18"/>
                <w:szCs w:val="18"/>
              </w:rPr>
            </w:pPr>
          </w:p>
        </w:tc>
        <w:tc>
          <w:tcPr>
            <w:tcW w:w="4715" w:type="dxa"/>
            <w:shd w:val="clear" w:color="auto" w:fill="auto"/>
          </w:tcPr>
          <w:p>
            <w:pPr>
              <w:rPr>
                <w:rFonts w:ascii="宋体" w:hAnsi="宋体" w:cs="宋体"/>
                <w:color w:val="0000FF"/>
                <w:sz w:val="18"/>
                <w:szCs w:val="18"/>
              </w:rPr>
            </w:pPr>
            <w:r>
              <w:rPr>
                <w:rStyle w:val="16"/>
                <w:rFonts w:hint="default"/>
                <w:color w:val="0000FF"/>
                <w:lang w:bidi="ar"/>
              </w:rPr>
              <w:t>(2)不锈钢规格：25*50*0.9mm，19*19*0.9mm（材料厚度为实际厚度，不为商标厚度）</w:t>
            </w:r>
          </w:p>
        </w:tc>
        <w:tc>
          <w:tcPr>
            <w:tcW w:w="981" w:type="dxa"/>
            <w:vMerge w:val="continue"/>
            <w:shd w:val="clear" w:color="auto" w:fill="auto"/>
          </w:tcPr>
          <w:p>
            <w:pPr>
              <w:jc w:val="center"/>
              <w:rPr>
                <w:rFonts w:ascii="宋体" w:hAnsi="宋体" w:cs="宋体"/>
                <w:color w:val="0000FF"/>
                <w:sz w:val="18"/>
                <w:szCs w:val="18"/>
              </w:rPr>
            </w:pPr>
          </w:p>
        </w:tc>
        <w:tc>
          <w:tcPr>
            <w:tcW w:w="877"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630" w:type="dxa"/>
            <w:vMerge w:val="continue"/>
            <w:shd w:val="clear" w:color="auto" w:fill="auto"/>
          </w:tcPr>
          <w:p>
            <w:pPr>
              <w:jc w:val="center"/>
              <w:rPr>
                <w:rFonts w:ascii="宋体" w:hAnsi="宋体" w:cs="宋体"/>
                <w:color w:val="0000FF"/>
                <w:sz w:val="18"/>
                <w:szCs w:val="18"/>
              </w:rPr>
            </w:pPr>
          </w:p>
        </w:tc>
        <w:tc>
          <w:tcPr>
            <w:tcW w:w="1195" w:type="dxa"/>
            <w:vMerge w:val="continue"/>
            <w:shd w:val="clear" w:color="auto" w:fill="auto"/>
          </w:tcPr>
          <w:p>
            <w:pPr>
              <w:jc w:val="left"/>
              <w:rPr>
                <w:rFonts w:ascii="宋体" w:hAnsi="宋体" w:cs="宋体"/>
                <w:color w:val="0000FF"/>
                <w:sz w:val="18"/>
                <w:szCs w:val="18"/>
              </w:rPr>
            </w:pPr>
          </w:p>
        </w:tc>
        <w:tc>
          <w:tcPr>
            <w:tcW w:w="4715" w:type="dxa"/>
            <w:shd w:val="clear" w:color="auto" w:fill="auto"/>
          </w:tcPr>
          <w:p>
            <w:pPr>
              <w:rPr>
                <w:rFonts w:ascii="宋体" w:hAnsi="宋体" w:cs="宋体"/>
                <w:color w:val="0000FF"/>
                <w:sz w:val="18"/>
                <w:szCs w:val="18"/>
              </w:rPr>
            </w:pPr>
            <w:r>
              <w:rPr>
                <w:rStyle w:val="16"/>
                <w:rFonts w:hint="default"/>
                <w:color w:val="0000FF"/>
                <w:lang w:bidi="ar"/>
              </w:rPr>
              <w:t>(3)条子（包塑镀锌管）：16*16*1.0mm</w:t>
            </w:r>
          </w:p>
        </w:tc>
        <w:tc>
          <w:tcPr>
            <w:tcW w:w="981" w:type="dxa"/>
            <w:vMerge w:val="continue"/>
            <w:shd w:val="clear" w:color="auto" w:fill="auto"/>
          </w:tcPr>
          <w:p>
            <w:pPr>
              <w:jc w:val="center"/>
              <w:rPr>
                <w:rFonts w:ascii="宋体" w:hAnsi="宋体" w:cs="宋体"/>
                <w:color w:val="0000FF"/>
                <w:sz w:val="18"/>
                <w:szCs w:val="18"/>
              </w:rPr>
            </w:pPr>
          </w:p>
        </w:tc>
        <w:tc>
          <w:tcPr>
            <w:tcW w:w="877"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trPr>
        <w:tc>
          <w:tcPr>
            <w:tcW w:w="630" w:type="dxa"/>
            <w:vMerge w:val="continue"/>
            <w:shd w:val="clear" w:color="auto" w:fill="auto"/>
          </w:tcPr>
          <w:p>
            <w:pPr>
              <w:jc w:val="center"/>
              <w:rPr>
                <w:rFonts w:ascii="宋体" w:hAnsi="宋体" w:cs="宋体"/>
                <w:color w:val="0000FF"/>
                <w:sz w:val="18"/>
                <w:szCs w:val="18"/>
              </w:rPr>
            </w:pPr>
          </w:p>
        </w:tc>
        <w:tc>
          <w:tcPr>
            <w:tcW w:w="1195" w:type="dxa"/>
            <w:vMerge w:val="continue"/>
            <w:shd w:val="clear" w:color="auto" w:fill="auto"/>
          </w:tcPr>
          <w:p>
            <w:pPr>
              <w:jc w:val="left"/>
              <w:rPr>
                <w:rFonts w:ascii="宋体" w:hAnsi="宋体" w:cs="宋体"/>
                <w:color w:val="0000FF"/>
                <w:sz w:val="18"/>
                <w:szCs w:val="18"/>
              </w:rPr>
            </w:pPr>
          </w:p>
        </w:tc>
        <w:tc>
          <w:tcPr>
            <w:tcW w:w="4715" w:type="dxa"/>
            <w:shd w:val="clear" w:color="auto" w:fill="auto"/>
          </w:tcPr>
          <w:p>
            <w:pPr>
              <w:rPr>
                <w:rFonts w:ascii="宋体" w:hAnsi="宋体" w:cs="宋体"/>
                <w:color w:val="0000FF"/>
                <w:sz w:val="18"/>
                <w:szCs w:val="18"/>
              </w:rPr>
            </w:pPr>
            <w:r>
              <w:rPr>
                <w:rStyle w:val="16"/>
                <w:rFonts w:hint="default"/>
                <w:color w:val="0000FF"/>
                <w:lang w:bidi="ar"/>
              </w:rPr>
              <w:t>(4)架子规格：高度4米，双排架宽85公分，层距25公分（孔中对孔中量），单排架宽45公分，层距25公分（孔中对孔中量）</w:t>
            </w:r>
          </w:p>
        </w:tc>
        <w:tc>
          <w:tcPr>
            <w:tcW w:w="981" w:type="dxa"/>
            <w:vMerge w:val="continue"/>
            <w:shd w:val="clear" w:color="auto" w:fill="auto"/>
          </w:tcPr>
          <w:p>
            <w:pPr>
              <w:jc w:val="center"/>
              <w:rPr>
                <w:rFonts w:ascii="宋体" w:hAnsi="宋体" w:cs="宋体"/>
                <w:color w:val="0000FF"/>
                <w:sz w:val="18"/>
                <w:szCs w:val="18"/>
              </w:rPr>
            </w:pPr>
          </w:p>
        </w:tc>
        <w:tc>
          <w:tcPr>
            <w:tcW w:w="877"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630" w:type="dxa"/>
            <w:vMerge w:val="continue"/>
            <w:shd w:val="clear" w:color="auto" w:fill="auto"/>
          </w:tcPr>
          <w:p>
            <w:pPr>
              <w:jc w:val="center"/>
              <w:rPr>
                <w:rFonts w:ascii="宋体" w:hAnsi="宋体" w:cs="宋体"/>
                <w:color w:val="0000FF"/>
                <w:sz w:val="18"/>
                <w:szCs w:val="18"/>
              </w:rPr>
            </w:pPr>
          </w:p>
        </w:tc>
        <w:tc>
          <w:tcPr>
            <w:tcW w:w="1195" w:type="dxa"/>
            <w:vMerge w:val="continue"/>
            <w:shd w:val="clear" w:color="auto" w:fill="auto"/>
          </w:tcPr>
          <w:p>
            <w:pPr>
              <w:jc w:val="left"/>
              <w:rPr>
                <w:rFonts w:ascii="宋体" w:hAnsi="宋体" w:cs="宋体"/>
                <w:color w:val="0000FF"/>
                <w:sz w:val="18"/>
                <w:szCs w:val="18"/>
              </w:rPr>
            </w:pPr>
          </w:p>
        </w:tc>
        <w:tc>
          <w:tcPr>
            <w:tcW w:w="4715" w:type="dxa"/>
            <w:shd w:val="clear" w:color="auto" w:fill="auto"/>
          </w:tcPr>
          <w:p>
            <w:pPr>
              <w:widowControl/>
              <w:textAlignment w:val="top"/>
              <w:rPr>
                <w:rFonts w:ascii="宋体" w:hAnsi="宋体" w:cs="宋体"/>
                <w:color w:val="0000FF"/>
                <w:szCs w:val="21"/>
              </w:rPr>
            </w:pPr>
            <w:r>
              <w:rPr>
                <w:rStyle w:val="18"/>
                <w:rFonts w:hint="default"/>
                <w:color w:val="0000FF"/>
                <w:lang w:bidi="ar"/>
              </w:rPr>
              <w:t>(</w:t>
            </w:r>
            <w:r>
              <w:rPr>
                <w:rStyle w:val="16"/>
                <w:rFonts w:hint="default"/>
                <w:color w:val="0000FF"/>
                <w:lang w:bidi="ar"/>
              </w:rPr>
              <w:t>5) 菇架组装调试、薄膜铺设</w:t>
            </w:r>
          </w:p>
        </w:tc>
        <w:tc>
          <w:tcPr>
            <w:tcW w:w="981" w:type="dxa"/>
            <w:vMerge w:val="continue"/>
            <w:shd w:val="clear" w:color="auto" w:fill="auto"/>
          </w:tcPr>
          <w:p>
            <w:pPr>
              <w:jc w:val="center"/>
              <w:rPr>
                <w:rFonts w:ascii="宋体" w:hAnsi="宋体" w:cs="宋体"/>
                <w:color w:val="0000FF"/>
                <w:sz w:val="18"/>
                <w:szCs w:val="18"/>
              </w:rPr>
            </w:pPr>
          </w:p>
        </w:tc>
        <w:tc>
          <w:tcPr>
            <w:tcW w:w="877"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30"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2</w:t>
            </w:r>
          </w:p>
        </w:tc>
        <w:tc>
          <w:tcPr>
            <w:tcW w:w="1195"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茶树菇菇架</w:t>
            </w:r>
          </w:p>
        </w:tc>
        <w:tc>
          <w:tcPr>
            <w:tcW w:w="4715" w:type="dxa"/>
            <w:shd w:val="clear" w:color="auto" w:fill="auto"/>
          </w:tcPr>
          <w:p>
            <w:pPr>
              <w:widowControl/>
              <w:jc w:val="left"/>
              <w:textAlignment w:val="top"/>
              <w:rPr>
                <w:rStyle w:val="16"/>
                <w:rFonts w:hint="default"/>
                <w:color w:val="0000FF"/>
                <w:lang w:bidi="ar"/>
              </w:rPr>
            </w:pPr>
            <w:r>
              <w:rPr>
                <w:rStyle w:val="16"/>
                <w:rFonts w:hint="default"/>
                <w:color w:val="0000FF"/>
                <w:lang w:bidi="ar"/>
              </w:rPr>
              <w:t>(1)茶树菇架 11M*1M*3M*6层（含运输及安装）每间茶树菇房4架</w:t>
            </w:r>
          </w:p>
        </w:tc>
        <w:tc>
          <w:tcPr>
            <w:tcW w:w="981" w:type="dxa"/>
            <w:vMerge w:val="restart"/>
            <w:shd w:val="clear" w:color="auto" w:fill="auto"/>
          </w:tcPr>
          <w:p>
            <w:pPr>
              <w:widowControl/>
              <w:jc w:val="center"/>
              <w:textAlignment w:val="top"/>
              <w:rPr>
                <w:rFonts w:ascii="宋体" w:hAnsi="宋体" w:cs="宋体"/>
                <w:color w:val="0000FF"/>
                <w:kern w:val="0"/>
                <w:sz w:val="18"/>
                <w:szCs w:val="18"/>
                <w:lang w:bidi="ar"/>
              </w:rPr>
            </w:pPr>
            <w:r>
              <w:rPr>
                <w:rFonts w:hint="eastAsia" w:ascii="宋体" w:hAnsi="宋体" w:cs="宋体"/>
                <w:color w:val="0000FF"/>
                <w:kern w:val="0"/>
                <w:sz w:val="18"/>
                <w:szCs w:val="18"/>
                <w:lang w:bidi="ar"/>
              </w:rPr>
              <w:t>间</w:t>
            </w:r>
          </w:p>
        </w:tc>
        <w:tc>
          <w:tcPr>
            <w:tcW w:w="877"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630" w:type="dxa"/>
            <w:vMerge w:val="continue"/>
            <w:shd w:val="clear" w:color="auto" w:fill="auto"/>
          </w:tcPr>
          <w:p>
            <w:pPr>
              <w:jc w:val="center"/>
              <w:rPr>
                <w:rFonts w:ascii="宋体" w:hAnsi="宋体" w:cs="宋体"/>
                <w:color w:val="0000FF"/>
                <w:sz w:val="18"/>
                <w:szCs w:val="18"/>
              </w:rPr>
            </w:pPr>
          </w:p>
        </w:tc>
        <w:tc>
          <w:tcPr>
            <w:tcW w:w="1195" w:type="dxa"/>
            <w:vMerge w:val="continue"/>
            <w:shd w:val="clear" w:color="auto" w:fill="auto"/>
          </w:tcPr>
          <w:p>
            <w:pPr>
              <w:jc w:val="left"/>
              <w:rPr>
                <w:rFonts w:ascii="宋体" w:hAnsi="宋体" w:cs="宋体"/>
                <w:color w:val="0000FF"/>
                <w:sz w:val="18"/>
                <w:szCs w:val="18"/>
              </w:rPr>
            </w:pPr>
          </w:p>
        </w:tc>
        <w:tc>
          <w:tcPr>
            <w:tcW w:w="4715" w:type="dxa"/>
            <w:shd w:val="clear" w:color="auto" w:fill="auto"/>
          </w:tcPr>
          <w:p>
            <w:pPr>
              <w:widowControl/>
              <w:jc w:val="left"/>
              <w:textAlignment w:val="top"/>
              <w:rPr>
                <w:rStyle w:val="16"/>
                <w:rFonts w:hint="default"/>
                <w:color w:val="0000FF"/>
                <w:lang w:bidi="ar"/>
              </w:rPr>
            </w:pPr>
            <w:r>
              <w:rPr>
                <w:rStyle w:val="16"/>
                <w:rFonts w:hint="default"/>
                <w:color w:val="0000FF"/>
                <w:lang w:bidi="ar"/>
              </w:rPr>
              <w:t>(2)镀锌管规格：20*40*2.0mm，25*25*2.0mm</w:t>
            </w:r>
          </w:p>
        </w:tc>
        <w:tc>
          <w:tcPr>
            <w:tcW w:w="981" w:type="dxa"/>
            <w:vMerge w:val="continue"/>
            <w:shd w:val="clear" w:color="auto" w:fill="auto"/>
          </w:tcPr>
          <w:p>
            <w:pPr>
              <w:jc w:val="center"/>
              <w:rPr>
                <w:rFonts w:ascii="宋体" w:hAnsi="宋体" w:cs="宋体"/>
                <w:color w:val="0000FF"/>
                <w:sz w:val="18"/>
                <w:szCs w:val="18"/>
              </w:rPr>
            </w:pPr>
          </w:p>
        </w:tc>
        <w:tc>
          <w:tcPr>
            <w:tcW w:w="877"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630" w:type="dxa"/>
            <w:vMerge w:val="continue"/>
            <w:shd w:val="clear" w:color="auto" w:fill="auto"/>
          </w:tcPr>
          <w:p>
            <w:pPr>
              <w:jc w:val="center"/>
              <w:rPr>
                <w:rFonts w:ascii="宋体" w:hAnsi="宋体" w:cs="宋体"/>
                <w:color w:val="0000FF"/>
                <w:sz w:val="18"/>
                <w:szCs w:val="18"/>
              </w:rPr>
            </w:pPr>
          </w:p>
        </w:tc>
        <w:tc>
          <w:tcPr>
            <w:tcW w:w="1195" w:type="dxa"/>
            <w:vMerge w:val="continue"/>
            <w:shd w:val="clear" w:color="auto" w:fill="auto"/>
          </w:tcPr>
          <w:p>
            <w:pPr>
              <w:jc w:val="left"/>
              <w:rPr>
                <w:rFonts w:ascii="宋体" w:hAnsi="宋体" w:cs="宋体"/>
                <w:color w:val="0000FF"/>
                <w:sz w:val="18"/>
                <w:szCs w:val="18"/>
              </w:rPr>
            </w:pPr>
          </w:p>
        </w:tc>
        <w:tc>
          <w:tcPr>
            <w:tcW w:w="4715" w:type="dxa"/>
            <w:shd w:val="clear" w:color="auto" w:fill="auto"/>
          </w:tcPr>
          <w:p>
            <w:pPr>
              <w:widowControl/>
              <w:jc w:val="left"/>
              <w:textAlignment w:val="top"/>
              <w:rPr>
                <w:rStyle w:val="16"/>
                <w:rFonts w:hint="default"/>
                <w:color w:val="0000FF"/>
                <w:lang w:bidi="ar"/>
              </w:rPr>
            </w:pPr>
            <w:r>
              <w:rPr>
                <w:rStyle w:val="16"/>
                <w:rFonts w:hint="default"/>
                <w:color w:val="0000FF"/>
                <w:lang w:bidi="ar"/>
              </w:rPr>
              <w:t>(3)条子（镀锌管）：15*15*1.0mm</w:t>
            </w:r>
          </w:p>
        </w:tc>
        <w:tc>
          <w:tcPr>
            <w:tcW w:w="981" w:type="dxa"/>
            <w:vMerge w:val="continue"/>
            <w:shd w:val="clear" w:color="auto" w:fill="auto"/>
          </w:tcPr>
          <w:p>
            <w:pPr>
              <w:jc w:val="center"/>
              <w:rPr>
                <w:rFonts w:ascii="宋体" w:hAnsi="宋体" w:cs="宋体"/>
                <w:color w:val="0000FF"/>
                <w:sz w:val="18"/>
                <w:szCs w:val="18"/>
              </w:rPr>
            </w:pPr>
          </w:p>
        </w:tc>
        <w:tc>
          <w:tcPr>
            <w:tcW w:w="877"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630" w:type="dxa"/>
            <w:vMerge w:val="continue"/>
            <w:shd w:val="clear" w:color="auto" w:fill="auto"/>
          </w:tcPr>
          <w:p>
            <w:pPr>
              <w:jc w:val="center"/>
              <w:rPr>
                <w:rFonts w:ascii="宋体" w:hAnsi="宋体" w:cs="宋体"/>
                <w:color w:val="0000FF"/>
                <w:sz w:val="18"/>
                <w:szCs w:val="18"/>
              </w:rPr>
            </w:pPr>
          </w:p>
        </w:tc>
        <w:tc>
          <w:tcPr>
            <w:tcW w:w="1195" w:type="dxa"/>
            <w:vMerge w:val="continue"/>
            <w:shd w:val="clear" w:color="auto" w:fill="auto"/>
          </w:tcPr>
          <w:p>
            <w:pPr>
              <w:jc w:val="left"/>
              <w:rPr>
                <w:rFonts w:ascii="宋体" w:hAnsi="宋体" w:cs="宋体"/>
                <w:color w:val="0000FF"/>
                <w:sz w:val="18"/>
                <w:szCs w:val="18"/>
              </w:rPr>
            </w:pPr>
          </w:p>
        </w:tc>
        <w:tc>
          <w:tcPr>
            <w:tcW w:w="4715" w:type="dxa"/>
            <w:shd w:val="clear" w:color="auto" w:fill="auto"/>
          </w:tcPr>
          <w:p>
            <w:pPr>
              <w:widowControl/>
              <w:jc w:val="left"/>
              <w:textAlignment w:val="top"/>
              <w:rPr>
                <w:rStyle w:val="16"/>
                <w:rFonts w:hint="default"/>
                <w:color w:val="0000FF"/>
                <w:lang w:bidi="ar"/>
              </w:rPr>
            </w:pPr>
            <w:r>
              <w:rPr>
                <w:rStyle w:val="16"/>
                <w:rFonts w:hint="default"/>
                <w:color w:val="0000FF"/>
                <w:lang w:bidi="ar"/>
              </w:rPr>
              <w:t>(4)架子规格：高度3米，双排架宽100公分，层数6层，层距50公分（孔中对孔中量）</w:t>
            </w:r>
          </w:p>
        </w:tc>
        <w:tc>
          <w:tcPr>
            <w:tcW w:w="981" w:type="dxa"/>
            <w:vMerge w:val="continue"/>
            <w:shd w:val="clear" w:color="auto" w:fill="auto"/>
          </w:tcPr>
          <w:p>
            <w:pPr>
              <w:jc w:val="center"/>
              <w:rPr>
                <w:rFonts w:ascii="宋体" w:hAnsi="宋体" w:cs="宋体"/>
                <w:color w:val="0000FF"/>
                <w:sz w:val="18"/>
                <w:szCs w:val="18"/>
              </w:rPr>
            </w:pPr>
          </w:p>
        </w:tc>
        <w:tc>
          <w:tcPr>
            <w:tcW w:w="877"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30" w:type="dxa"/>
            <w:vMerge w:val="continue"/>
            <w:shd w:val="clear" w:color="auto" w:fill="auto"/>
          </w:tcPr>
          <w:p>
            <w:pPr>
              <w:jc w:val="center"/>
              <w:rPr>
                <w:rFonts w:ascii="宋体" w:hAnsi="宋体" w:cs="宋体"/>
                <w:color w:val="0000FF"/>
                <w:sz w:val="18"/>
                <w:szCs w:val="18"/>
              </w:rPr>
            </w:pPr>
          </w:p>
        </w:tc>
        <w:tc>
          <w:tcPr>
            <w:tcW w:w="1195" w:type="dxa"/>
            <w:vMerge w:val="continue"/>
            <w:shd w:val="clear" w:color="auto" w:fill="auto"/>
          </w:tcPr>
          <w:p>
            <w:pPr>
              <w:jc w:val="left"/>
              <w:rPr>
                <w:rFonts w:ascii="宋体" w:hAnsi="宋体" w:cs="宋体"/>
                <w:color w:val="0000FF"/>
                <w:sz w:val="18"/>
                <w:szCs w:val="18"/>
              </w:rPr>
            </w:pPr>
          </w:p>
        </w:tc>
        <w:tc>
          <w:tcPr>
            <w:tcW w:w="4715" w:type="dxa"/>
            <w:shd w:val="clear" w:color="auto" w:fill="auto"/>
          </w:tcPr>
          <w:p>
            <w:pPr>
              <w:widowControl/>
              <w:jc w:val="left"/>
              <w:textAlignment w:val="top"/>
              <w:rPr>
                <w:rStyle w:val="16"/>
                <w:rFonts w:hint="default"/>
                <w:color w:val="0000FF"/>
                <w:lang w:bidi="ar"/>
              </w:rPr>
            </w:pPr>
            <w:r>
              <w:rPr>
                <w:rStyle w:val="16"/>
                <w:rFonts w:hint="default"/>
                <w:color w:val="0000FF"/>
                <w:lang w:bidi="ar"/>
              </w:rPr>
              <w:t>(5)中间格条需用塑套，具体详见设计图</w:t>
            </w:r>
          </w:p>
        </w:tc>
        <w:tc>
          <w:tcPr>
            <w:tcW w:w="981" w:type="dxa"/>
            <w:vMerge w:val="continue"/>
            <w:shd w:val="clear" w:color="auto" w:fill="auto"/>
          </w:tcPr>
          <w:p>
            <w:pPr>
              <w:jc w:val="center"/>
              <w:rPr>
                <w:rFonts w:ascii="宋体" w:hAnsi="宋体" w:cs="宋体"/>
                <w:color w:val="0000FF"/>
                <w:sz w:val="18"/>
                <w:szCs w:val="18"/>
              </w:rPr>
            </w:pPr>
          </w:p>
        </w:tc>
        <w:tc>
          <w:tcPr>
            <w:tcW w:w="877"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630" w:type="dxa"/>
            <w:vMerge w:val="continue"/>
            <w:shd w:val="clear" w:color="auto" w:fill="auto"/>
          </w:tcPr>
          <w:p>
            <w:pPr>
              <w:jc w:val="center"/>
              <w:rPr>
                <w:rFonts w:ascii="宋体" w:hAnsi="宋体" w:cs="宋体"/>
                <w:color w:val="0000FF"/>
                <w:sz w:val="18"/>
                <w:szCs w:val="18"/>
              </w:rPr>
            </w:pPr>
          </w:p>
        </w:tc>
        <w:tc>
          <w:tcPr>
            <w:tcW w:w="1195" w:type="dxa"/>
            <w:vMerge w:val="continue"/>
            <w:shd w:val="clear" w:color="auto" w:fill="auto"/>
          </w:tcPr>
          <w:p>
            <w:pPr>
              <w:jc w:val="left"/>
              <w:rPr>
                <w:rFonts w:ascii="宋体" w:hAnsi="宋体" w:cs="宋体"/>
                <w:color w:val="0000FF"/>
                <w:sz w:val="18"/>
                <w:szCs w:val="18"/>
              </w:rPr>
            </w:pPr>
          </w:p>
        </w:tc>
        <w:tc>
          <w:tcPr>
            <w:tcW w:w="4715" w:type="dxa"/>
            <w:shd w:val="clear" w:color="auto" w:fill="auto"/>
          </w:tcPr>
          <w:p>
            <w:pPr>
              <w:widowControl/>
              <w:jc w:val="left"/>
              <w:textAlignment w:val="top"/>
              <w:rPr>
                <w:rStyle w:val="16"/>
                <w:rFonts w:hint="default"/>
                <w:color w:val="0000FF"/>
                <w:lang w:bidi="ar"/>
              </w:rPr>
            </w:pPr>
            <w:r>
              <w:rPr>
                <w:rStyle w:val="18"/>
                <w:rFonts w:hint="default"/>
                <w:color w:val="0000FF"/>
                <w:lang w:bidi="ar"/>
              </w:rPr>
              <w:t>(</w:t>
            </w:r>
            <w:r>
              <w:rPr>
                <w:rStyle w:val="16"/>
                <w:rFonts w:hint="default"/>
                <w:color w:val="0000FF"/>
                <w:lang w:bidi="ar"/>
              </w:rPr>
              <w:t>5) 菇架组装调试、薄膜铺设</w:t>
            </w:r>
          </w:p>
        </w:tc>
        <w:tc>
          <w:tcPr>
            <w:tcW w:w="981" w:type="dxa"/>
            <w:vMerge w:val="continue"/>
            <w:shd w:val="clear" w:color="auto" w:fill="auto"/>
          </w:tcPr>
          <w:p>
            <w:pPr>
              <w:jc w:val="center"/>
              <w:rPr>
                <w:rFonts w:ascii="宋体" w:hAnsi="宋体" w:cs="宋体"/>
                <w:color w:val="0000FF"/>
                <w:sz w:val="18"/>
                <w:szCs w:val="18"/>
              </w:rPr>
            </w:pPr>
          </w:p>
        </w:tc>
        <w:tc>
          <w:tcPr>
            <w:tcW w:w="877"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630"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3</w:t>
            </w:r>
          </w:p>
        </w:tc>
        <w:tc>
          <w:tcPr>
            <w:tcW w:w="1195"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花菇菇架</w:t>
            </w:r>
          </w:p>
        </w:tc>
        <w:tc>
          <w:tcPr>
            <w:tcW w:w="4715" w:type="dxa"/>
            <w:shd w:val="clear" w:color="auto" w:fill="auto"/>
          </w:tcPr>
          <w:p>
            <w:pPr>
              <w:widowControl/>
              <w:jc w:val="left"/>
              <w:textAlignment w:val="top"/>
              <w:rPr>
                <w:rStyle w:val="16"/>
                <w:rFonts w:hint="default"/>
                <w:color w:val="0000FF"/>
                <w:lang w:bidi="ar"/>
              </w:rPr>
            </w:pPr>
            <w:r>
              <w:rPr>
                <w:rStyle w:val="16"/>
                <w:rFonts w:hint="default"/>
                <w:color w:val="0000FF"/>
                <w:lang w:bidi="ar"/>
              </w:rPr>
              <w:t>(1)花菇架双排架 11M*0.85M*2.16M*8层（含运输及安装），每间花菇房3架菇架</w:t>
            </w:r>
          </w:p>
        </w:tc>
        <w:tc>
          <w:tcPr>
            <w:tcW w:w="981" w:type="dxa"/>
            <w:vMerge w:val="restart"/>
            <w:shd w:val="clear" w:color="auto" w:fill="auto"/>
          </w:tcPr>
          <w:p>
            <w:pPr>
              <w:widowControl/>
              <w:jc w:val="center"/>
              <w:textAlignment w:val="top"/>
              <w:rPr>
                <w:rFonts w:ascii="宋体" w:hAnsi="宋体" w:cs="宋体"/>
                <w:color w:val="0000FF"/>
                <w:kern w:val="0"/>
                <w:sz w:val="18"/>
                <w:szCs w:val="18"/>
                <w:lang w:bidi="ar"/>
              </w:rPr>
            </w:pPr>
            <w:r>
              <w:rPr>
                <w:rFonts w:hint="eastAsia" w:ascii="宋体" w:hAnsi="宋体" w:cs="宋体"/>
                <w:color w:val="0000FF"/>
                <w:kern w:val="0"/>
                <w:sz w:val="18"/>
                <w:szCs w:val="18"/>
                <w:lang w:bidi="ar"/>
              </w:rPr>
              <w:t>间</w:t>
            </w:r>
          </w:p>
        </w:tc>
        <w:tc>
          <w:tcPr>
            <w:tcW w:w="877"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30" w:type="dxa"/>
            <w:vMerge w:val="continue"/>
            <w:shd w:val="clear" w:color="auto" w:fill="auto"/>
          </w:tcPr>
          <w:p>
            <w:pPr>
              <w:jc w:val="center"/>
              <w:rPr>
                <w:rFonts w:ascii="宋体" w:hAnsi="宋体" w:cs="宋体"/>
                <w:color w:val="0000FF"/>
                <w:sz w:val="18"/>
                <w:szCs w:val="18"/>
              </w:rPr>
            </w:pPr>
          </w:p>
        </w:tc>
        <w:tc>
          <w:tcPr>
            <w:tcW w:w="1195" w:type="dxa"/>
            <w:vMerge w:val="continue"/>
            <w:shd w:val="clear" w:color="auto" w:fill="auto"/>
          </w:tcPr>
          <w:p>
            <w:pPr>
              <w:jc w:val="left"/>
              <w:rPr>
                <w:rFonts w:ascii="宋体" w:hAnsi="宋体" w:cs="宋体"/>
                <w:color w:val="0000FF"/>
                <w:sz w:val="18"/>
                <w:szCs w:val="18"/>
              </w:rPr>
            </w:pPr>
          </w:p>
        </w:tc>
        <w:tc>
          <w:tcPr>
            <w:tcW w:w="4715" w:type="dxa"/>
            <w:shd w:val="clear" w:color="auto" w:fill="auto"/>
          </w:tcPr>
          <w:p>
            <w:pPr>
              <w:widowControl/>
              <w:jc w:val="left"/>
              <w:textAlignment w:val="top"/>
              <w:rPr>
                <w:rStyle w:val="16"/>
                <w:rFonts w:hint="default"/>
                <w:color w:val="0000FF"/>
                <w:lang w:bidi="ar"/>
              </w:rPr>
            </w:pPr>
            <w:r>
              <w:rPr>
                <w:rStyle w:val="16"/>
                <w:rFonts w:hint="default"/>
                <w:color w:val="0000FF"/>
                <w:lang w:bidi="ar"/>
              </w:rPr>
              <w:t>(2)每个菇架含：立柱:25*50*1.2*2160=18根</w:t>
            </w:r>
          </w:p>
        </w:tc>
        <w:tc>
          <w:tcPr>
            <w:tcW w:w="981" w:type="dxa"/>
            <w:vMerge w:val="continue"/>
            <w:shd w:val="clear" w:color="auto" w:fill="auto"/>
          </w:tcPr>
          <w:p>
            <w:pPr>
              <w:jc w:val="center"/>
              <w:rPr>
                <w:rFonts w:ascii="宋体" w:hAnsi="宋体" w:cs="宋体"/>
                <w:color w:val="0000FF"/>
                <w:sz w:val="18"/>
                <w:szCs w:val="18"/>
              </w:rPr>
            </w:pPr>
          </w:p>
        </w:tc>
        <w:tc>
          <w:tcPr>
            <w:tcW w:w="877"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630" w:type="dxa"/>
            <w:vMerge w:val="continue"/>
            <w:shd w:val="clear" w:color="auto" w:fill="auto"/>
          </w:tcPr>
          <w:p>
            <w:pPr>
              <w:jc w:val="center"/>
              <w:rPr>
                <w:rFonts w:ascii="宋体" w:hAnsi="宋体" w:cs="宋体"/>
                <w:color w:val="0000FF"/>
                <w:sz w:val="18"/>
                <w:szCs w:val="18"/>
              </w:rPr>
            </w:pPr>
          </w:p>
        </w:tc>
        <w:tc>
          <w:tcPr>
            <w:tcW w:w="1195" w:type="dxa"/>
            <w:vMerge w:val="continue"/>
            <w:shd w:val="clear" w:color="auto" w:fill="auto"/>
          </w:tcPr>
          <w:p>
            <w:pPr>
              <w:jc w:val="left"/>
              <w:rPr>
                <w:rFonts w:ascii="宋体" w:hAnsi="宋体" w:cs="宋体"/>
                <w:color w:val="0000FF"/>
                <w:sz w:val="18"/>
                <w:szCs w:val="18"/>
              </w:rPr>
            </w:pPr>
          </w:p>
        </w:tc>
        <w:tc>
          <w:tcPr>
            <w:tcW w:w="4715" w:type="dxa"/>
            <w:shd w:val="clear" w:color="auto" w:fill="auto"/>
          </w:tcPr>
          <w:p>
            <w:pPr>
              <w:widowControl/>
              <w:jc w:val="left"/>
              <w:textAlignment w:val="top"/>
              <w:rPr>
                <w:rStyle w:val="16"/>
                <w:rFonts w:hint="default"/>
                <w:color w:val="0000FF"/>
                <w:lang w:bidi="ar"/>
              </w:rPr>
            </w:pPr>
            <w:r>
              <w:rPr>
                <w:rStyle w:val="16"/>
                <w:rFonts w:hint="default"/>
                <w:color w:val="0000FF"/>
                <w:lang w:bidi="ar"/>
              </w:rPr>
              <w:t>(3)横档:19*19*1.2*850=72根</w:t>
            </w:r>
          </w:p>
        </w:tc>
        <w:tc>
          <w:tcPr>
            <w:tcW w:w="981" w:type="dxa"/>
            <w:vMerge w:val="continue"/>
            <w:shd w:val="clear" w:color="auto" w:fill="auto"/>
          </w:tcPr>
          <w:p>
            <w:pPr>
              <w:jc w:val="center"/>
              <w:rPr>
                <w:rFonts w:ascii="宋体" w:hAnsi="宋体" w:cs="宋体"/>
                <w:color w:val="0000FF"/>
                <w:sz w:val="18"/>
                <w:szCs w:val="18"/>
              </w:rPr>
            </w:pPr>
          </w:p>
        </w:tc>
        <w:tc>
          <w:tcPr>
            <w:tcW w:w="877"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630" w:type="dxa"/>
            <w:vMerge w:val="continue"/>
            <w:shd w:val="clear" w:color="auto" w:fill="auto"/>
          </w:tcPr>
          <w:p>
            <w:pPr>
              <w:jc w:val="center"/>
              <w:rPr>
                <w:rFonts w:ascii="宋体" w:hAnsi="宋体" w:cs="宋体"/>
                <w:color w:val="0000FF"/>
                <w:sz w:val="18"/>
                <w:szCs w:val="18"/>
              </w:rPr>
            </w:pPr>
          </w:p>
        </w:tc>
        <w:tc>
          <w:tcPr>
            <w:tcW w:w="1195" w:type="dxa"/>
            <w:vMerge w:val="continue"/>
            <w:shd w:val="clear" w:color="auto" w:fill="auto"/>
          </w:tcPr>
          <w:p>
            <w:pPr>
              <w:jc w:val="left"/>
              <w:rPr>
                <w:rFonts w:ascii="宋体" w:hAnsi="宋体" w:cs="宋体"/>
                <w:color w:val="0000FF"/>
                <w:sz w:val="18"/>
                <w:szCs w:val="18"/>
              </w:rPr>
            </w:pPr>
          </w:p>
        </w:tc>
        <w:tc>
          <w:tcPr>
            <w:tcW w:w="4715" w:type="dxa"/>
            <w:shd w:val="clear" w:color="auto" w:fill="auto"/>
          </w:tcPr>
          <w:p>
            <w:pPr>
              <w:widowControl/>
              <w:jc w:val="left"/>
              <w:textAlignment w:val="top"/>
              <w:rPr>
                <w:rStyle w:val="16"/>
                <w:rFonts w:hint="default"/>
                <w:color w:val="0000FF"/>
                <w:lang w:bidi="ar"/>
              </w:rPr>
            </w:pPr>
            <w:r>
              <w:rPr>
                <w:rStyle w:val="16"/>
                <w:rFonts w:hint="default"/>
                <w:color w:val="0000FF"/>
                <w:lang w:bidi="ar"/>
              </w:rPr>
              <w:t>(4)条子:16*16*1.1*5500=64根</w:t>
            </w:r>
          </w:p>
        </w:tc>
        <w:tc>
          <w:tcPr>
            <w:tcW w:w="981" w:type="dxa"/>
            <w:vMerge w:val="continue"/>
            <w:shd w:val="clear" w:color="auto" w:fill="auto"/>
          </w:tcPr>
          <w:p>
            <w:pPr>
              <w:jc w:val="center"/>
              <w:rPr>
                <w:rFonts w:ascii="宋体" w:hAnsi="宋体" w:cs="宋体"/>
                <w:color w:val="0000FF"/>
                <w:sz w:val="18"/>
                <w:szCs w:val="18"/>
              </w:rPr>
            </w:pPr>
          </w:p>
        </w:tc>
        <w:tc>
          <w:tcPr>
            <w:tcW w:w="877" w:type="dxa"/>
            <w:vMerge w:val="continue"/>
            <w:shd w:val="clear" w:color="auto" w:fill="auto"/>
          </w:tcPr>
          <w:p>
            <w:pPr>
              <w:jc w:val="center"/>
              <w:rPr>
                <w:rFonts w:ascii="宋体" w:hAnsi="宋体" w:cs="宋体"/>
                <w:color w:val="0000FF"/>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630" w:type="dxa"/>
            <w:vMerge w:val="continue"/>
            <w:shd w:val="clear" w:color="auto" w:fill="auto"/>
          </w:tcPr>
          <w:p>
            <w:pPr>
              <w:jc w:val="center"/>
              <w:rPr>
                <w:rFonts w:ascii="宋体" w:hAnsi="宋体" w:cs="宋体"/>
                <w:color w:val="0000FF"/>
                <w:sz w:val="18"/>
                <w:szCs w:val="18"/>
              </w:rPr>
            </w:pPr>
          </w:p>
        </w:tc>
        <w:tc>
          <w:tcPr>
            <w:tcW w:w="1195" w:type="dxa"/>
            <w:vMerge w:val="continue"/>
            <w:shd w:val="clear" w:color="auto" w:fill="auto"/>
          </w:tcPr>
          <w:p>
            <w:pPr>
              <w:jc w:val="left"/>
              <w:rPr>
                <w:rFonts w:ascii="宋体" w:hAnsi="宋体" w:cs="宋体"/>
                <w:color w:val="0000FF"/>
                <w:sz w:val="18"/>
                <w:szCs w:val="18"/>
              </w:rPr>
            </w:pPr>
          </w:p>
        </w:tc>
        <w:tc>
          <w:tcPr>
            <w:tcW w:w="4715" w:type="dxa"/>
            <w:shd w:val="clear" w:color="auto" w:fill="auto"/>
          </w:tcPr>
          <w:p>
            <w:pPr>
              <w:widowControl/>
              <w:jc w:val="left"/>
              <w:textAlignment w:val="top"/>
              <w:rPr>
                <w:rStyle w:val="16"/>
                <w:rFonts w:hint="default"/>
                <w:color w:val="0000FF"/>
                <w:lang w:bidi="ar"/>
              </w:rPr>
            </w:pPr>
            <w:r>
              <w:rPr>
                <w:rStyle w:val="16"/>
                <w:rFonts w:hint="default"/>
                <w:color w:val="0000FF"/>
                <w:lang w:bidi="ar"/>
              </w:rPr>
              <w:t>(5)中间格条需用塑套，具体详设计图</w:t>
            </w:r>
          </w:p>
        </w:tc>
        <w:tc>
          <w:tcPr>
            <w:tcW w:w="981" w:type="dxa"/>
            <w:vMerge w:val="continue"/>
            <w:shd w:val="clear" w:color="auto" w:fill="auto"/>
          </w:tcPr>
          <w:p>
            <w:pPr>
              <w:jc w:val="center"/>
              <w:rPr>
                <w:rFonts w:ascii="宋体" w:hAnsi="宋体" w:cs="宋体"/>
                <w:color w:val="0000FF"/>
                <w:sz w:val="18"/>
                <w:szCs w:val="18"/>
              </w:rPr>
            </w:pPr>
          </w:p>
        </w:tc>
        <w:tc>
          <w:tcPr>
            <w:tcW w:w="877" w:type="dxa"/>
            <w:vMerge w:val="continue"/>
            <w:shd w:val="clear" w:color="auto" w:fill="auto"/>
          </w:tcPr>
          <w:p>
            <w:pPr>
              <w:jc w:val="center"/>
              <w:rPr>
                <w:rFonts w:ascii="宋体" w:hAnsi="宋体" w:cs="宋体"/>
                <w:color w:val="0000FF"/>
                <w:sz w:val="18"/>
                <w:szCs w:val="18"/>
              </w:rPr>
            </w:pPr>
          </w:p>
        </w:tc>
      </w:tr>
    </w:tbl>
    <w:p>
      <w:pPr>
        <w:pStyle w:val="12"/>
        <w:spacing w:before="75" w:after="75"/>
        <w:ind w:firstLine="480"/>
        <w:rPr>
          <w:rFonts w:hint="default" w:ascii="宋体" w:hAnsi="宋体" w:eastAsia="宋体" w:cs="宋体"/>
          <w:b/>
          <w:color w:val="0000FF"/>
          <w:sz w:val="24"/>
          <w:lang w:eastAsia="zh-CN"/>
        </w:rPr>
      </w:pPr>
      <w:r>
        <w:rPr>
          <w:rFonts w:ascii="宋体" w:hAnsi="宋体" w:eastAsia="宋体" w:cs="宋体"/>
          <w:b/>
          <w:color w:val="0000FF"/>
          <w:sz w:val="24"/>
          <w:lang w:eastAsia="zh-CN"/>
        </w:rPr>
        <w:t>2.3.4 银耳初加工系统技术参数及配套要求</w:t>
      </w:r>
    </w:p>
    <w:p/>
    <w:tbl>
      <w:tblPr>
        <w:tblStyle w:val="9"/>
        <w:tblW w:w="8426"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1162"/>
        <w:gridCol w:w="4780"/>
        <w:gridCol w:w="967"/>
        <w:gridCol w:w="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序号</w:t>
            </w:r>
          </w:p>
        </w:tc>
        <w:tc>
          <w:tcPr>
            <w:tcW w:w="1162"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项目名称</w:t>
            </w:r>
          </w:p>
        </w:tc>
        <w:tc>
          <w:tcPr>
            <w:tcW w:w="4780" w:type="dxa"/>
            <w:shd w:val="clear" w:color="auto" w:fill="auto"/>
          </w:tcPr>
          <w:p>
            <w:pPr>
              <w:jc w:val="left"/>
              <w:rPr>
                <w:rFonts w:ascii="宋体" w:hAnsi="宋体" w:cs="宋体"/>
                <w:color w:val="0000FF"/>
                <w:sz w:val="18"/>
                <w:szCs w:val="18"/>
              </w:rPr>
            </w:pPr>
            <w:r>
              <w:rPr>
                <w:rFonts w:hint="eastAsia" w:ascii="宋体" w:hAnsi="宋体" w:cs="宋体"/>
                <w:color w:val="0000FF"/>
                <w:sz w:val="18"/>
                <w:szCs w:val="18"/>
              </w:rPr>
              <w:t>项目特征描述</w:t>
            </w:r>
          </w:p>
        </w:tc>
        <w:tc>
          <w:tcPr>
            <w:tcW w:w="967"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计量单位</w:t>
            </w:r>
          </w:p>
        </w:tc>
        <w:tc>
          <w:tcPr>
            <w:tcW w:w="904"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w:t>
            </w:r>
          </w:p>
        </w:tc>
        <w:tc>
          <w:tcPr>
            <w:tcW w:w="1162" w:type="dxa"/>
            <w:vMerge w:val="restart"/>
            <w:shd w:val="clear" w:color="auto" w:fill="auto"/>
          </w:tcPr>
          <w:p>
            <w:pPr>
              <w:widowControl/>
              <w:jc w:val="left"/>
              <w:textAlignment w:val="top"/>
              <w:rPr>
                <w:rStyle w:val="16"/>
                <w:rFonts w:hint="default"/>
                <w:color w:val="0000FF"/>
                <w:lang w:bidi="ar"/>
              </w:rPr>
            </w:pPr>
            <w:r>
              <w:rPr>
                <w:rStyle w:val="16"/>
                <w:rFonts w:hint="default"/>
                <w:color w:val="0000FF"/>
                <w:lang w:bidi="ar"/>
              </w:rPr>
              <w:t>银耳初加工系统</w:t>
            </w:r>
          </w:p>
        </w:tc>
        <w:tc>
          <w:tcPr>
            <w:tcW w:w="4780"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（1）满足日产1000斤银耳干菇；</w:t>
            </w:r>
          </w:p>
        </w:tc>
        <w:tc>
          <w:tcPr>
            <w:tcW w:w="967"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套</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4780"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（2）全自动低温烘干模式；</w:t>
            </w:r>
          </w:p>
        </w:tc>
        <w:tc>
          <w:tcPr>
            <w:tcW w:w="967" w:type="dxa"/>
            <w:vMerge w:val="continue"/>
            <w:shd w:val="clear" w:color="auto" w:fill="auto"/>
          </w:tcPr>
          <w:p>
            <w:pPr>
              <w:widowControl/>
              <w:jc w:val="left"/>
              <w:textAlignment w:val="top"/>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4780" w:type="dxa"/>
            <w:shd w:val="clear" w:color="auto" w:fill="auto"/>
          </w:tcPr>
          <w:p>
            <w:pPr>
              <w:widowControl/>
              <w:textAlignment w:val="top"/>
              <w:rPr>
                <w:rFonts w:ascii="宋体" w:hAnsi="宋体" w:cs="宋体"/>
                <w:color w:val="0000FF"/>
                <w:sz w:val="18"/>
                <w:szCs w:val="18"/>
              </w:rPr>
            </w:pPr>
            <w:r>
              <w:rPr>
                <w:rStyle w:val="16"/>
                <w:rFonts w:hint="default"/>
                <w:color w:val="0000FF"/>
                <w:lang w:bidi="ar"/>
              </w:rPr>
              <w:t>（3）组成主要包括：配套的烘干系统、削耳台、清洗机、注浆机、破碎机、传送搅拌提升机、托盘等</w:t>
            </w:r>
          </w:p>
        </w:tc>
        <w:tc>
          <w:tcPr>
            <w:tcW w:w="967" w:type="dxa"/>
            <w:vMerge w:val="continue"/>
            <w:shd w:val="clear" w:color="auto" w:fill="auto"/>
          </w:tcPr>
          <w:p>
            <w:pPr>
              <w:widowControl/>
              <w:textAlignment w:val="top"/>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highlight w:val="red"/>
              </w:rPr>
            </w:pPr>
          </w:p>
        </w:tc>
      </w:tr>
    </w:tbl>
    <w:p>
      <w:pPr>
        <w:pStyle w:val="12"/>
        <w:spacing w:before="75" w:after="75"/>
        <w:ind w:firstLine="480"/>
        <w:rPr>
          <w:rFonts w:hint="default" w:ascii="宋体" w:hAnsi="宋体" w:eastAsia="宋体" w:cs="宋体"/>
          <w:b/>
          <w:color w:val="0000FF"/>
          <w:sz w:val="24"/>
          <w:lang w:eastAsia="zh-CN"/>
        </w:rPr>
      </w:pPr>
      <w:r>
        <w:rPr>
          <w:rFonts w:ascii="宋体" w:hAnsi="宋体" w:eastAsia="宋体" w:cs="宋体"/>
          <w:b/>
          <w:color w:val="0000FF"/>
          <w:sz w:val="24"/>
          <w:lang w:eastAsia="zh-CN"/>
        </w:rPr>
        <w:t>2.3.5 包装系统技术参数及配套要求</w:t>
      </w:r>
    </w:p>
    <w:p/>
    <w:tbl>
      <w:tblPr>
        <w:tblStyle w:val="9"/>
        <w:tblW w:w="8426"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1162"/>
        <w:gridCol w:w="4746"/>
        <w:gridCol w:w="1001"/>
        <w:gridCol w:w="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shd w:val="clear" w:color="auto" w:fill="auto"/>
          </w:tcPr>
          <w:p>
            <w:pPr>
              <w:jc w:val="center"/>
              <w:rPr>
                <w:rFonts w:ascii="宋体" w:hAnsi="宋体" w:cs="宋体"/>
                <w:color w:val="0000FF"/>
                <w:sz w:val="18"/>
                <w:szCs w:val="18"/>
                <w:highlight w:val="red"/>
              </w:rPr>
            </w:pPr>
            <w:r>
              <w:rPr>
                <w:rFonts w:hint="eastAsia" w:ascii="宋体" w:hAnsi="宋体" w:cs="宋体"/>
                <w:color w:val="0000FF"/>
                <w:sz w:val="18"/>
                <w:szCs w:val="18"/>
              </w:rPr>
              <w:t>序号</w:t>
            </w:r>
          </w:p>
        </w:tc>
        <w:tc>
          <w:tcPr>
            <w:tcW w:w="1162"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项目名称</w:t>
            </w:r>
          </w:p>
        </w:tc>
        <w:tc>
          <w:tcPr>
            <w:tcW w:w="4746" w:type="dxa"/>
            <w:shd w:val="clear" w:color="auto" w:fill="auto"/>
          </w:tcPr>
          <w:p>
            <w:pPr>
              <w:jc w:val="left"/>
              <w:rPr>
                <w:rFonts w:ascii="宋体" w:hAnsi="宋体" w:cs="宋体"/>
                <w:color w:val="0000FF"/>
                <w:sz w:val="18"/>
                <w:szCs w:val="18"/>
              </w:rPr>
            </w:pPr>
            <w:r>
              <w:rPr>
                <w:rFonts w:hint="eastAsia" w:ascii="宋体" w:hAnsi="宋体" w:cs="宋体"/>
                <w:color w:val="0000FF"/>
                <w:sz w:val="18"/>
                <w:szCs w:val="18"/>
              </w:rPr>
              <w:t>项目特征描述</w:t>
            </w:r>
          </w:p>
        </w:tc>
        <w:tc>
          <w:tcPr>
            <w:tcW w:w="1001"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计量单位</w:t>
            </w:r>
          </w:p>
        </w:tc>
        <w:tc>
          <w:tcPr>
            <w:tcW w:w="904"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kern w:val="0"/>
                <w:sz w:val="18"/>
                <w:szCs w:val="18"/>
                <w:lang w:bidi="ar"/>
              </w:rPr>
              <w:t>1</w:t>
            </w:r>
          </w:p>
        </w:tc>
        <w:tc>
          <w:tcPr>
            <w:tcW w:w="1162" w:type="dxa"/>
            <w:vMerge w:val="restart"/>
            <w:shd w:val="clear" w:color="auto" w:fill="auto"/>
          </w:tcPr>
          <w:p>
            <w:pPr>
              <w:widowControl/>
              <w:jc w:val="left"/>
              <w:textAlignment w:val="top"/>
              <w:rPr>
                <w:rStyle w:val="16"/>
                <w:rFonts w:hint="default"/>
                <w:color w:val="0000FF"/>
                <w:lang w:bidi="ar"/>
              </w:rPr>
            </w:pPr>
            <w:r>
              <w:rPr>
                <w:rStyle w:val="16"/>
                <w:rFonts w:hint="default"/>
                <w:color w:val="0000FF"/>
                <w:lang w:bidi="ar"/>
              </w:rPr>
              <w:t>银耳包装机</w:t>
            </w:r>
          </w:p>
        </w:tc>
        <w:tc>
          <w:tcPr>
            <w:tcW w:w="4746"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（1）每套设备包装效率至少满足一小时1200袋；</w:t>
            </w:r>
          </w:p>
        </w:tc>
        <w:tc>
          <w:tcPr>
            <w:tcW w:w="1001" w:type="dxa"/>
            <w:vMerge w:val="restart"/>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套</w:t>
            </w:r>
          </w:p>
        </w:tc>
        <w:tc>
          <w:tcPr>
            <w:tcW w:w="904"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13" w:type="dxa"/>
            <w:vMerge w:val="continue"/>
            <w:shd w:val="clear" w:color="auto" w:fill="auto"/>
          </w:tcPr>
          <w:p>
            <w:pPr>
              <w:jc w:val="center"/>
              <w:rPr>
                <w:rFonts w:ascii="宋体" w:hAnsi="宋体" w:cs="宋体"/>
                <w:color w:val="0000FF"/>
                <w:sz w:val="18"/>
                <w:szCs w:val="18"/>
              </w:rPr>
            </w:pPr>
          </w:p>
        </w:tc>
        <w:tc>
          <w:tcPr>
            <w:tcW w:w="1162" w:type="dxa"/>
            <w:vMerge w:val="continue"/>
            <w:shd w:val="clear" w:color="auto" w:fill="auto"/>
          </w:tcPr>
          <w:p>
            <w:pPr>
              <w:jc w:val="left"/>
              <w:rPr>
                <w:rFonts w:ascii="宋体" w:hAnsi="宋体" w:cs="宋体"/>
                <w:color w:val="0000FF"/>
                <w:sz w:val="18"/>
                <w:szCs w:val="18"/>
              </w:rPr>
            </w:pPr>
          </w:p>
        </w:tc>
        <w:tc>
          <w:tcPr>
            <w:tcW w:w="4746"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（2）抓袋、开袋、上料、抽真空、封袋全自动。</w:t>
            </w:r>
          </w:p>
        </w:tc>
        <w:tc>
          <w:tcPr>
            <w:tcW w:w="1001" w:type="dxa"/>
            <w:vMerge w:val="continue"/>
            <w:shd w:val="clear" w:color="auto" w:fill="auto"/>
          </w:tcPr>
          <w:p>
            <w:pPr>
              <w:widowControl/>
              <w:jc w:val="left"/>
              <w:textAlignment w:val="top"/>
              <w:rPr>
                <w:rFonts w:ascii="宋体" w:hAnsi="宋体" w:cs="宋体"/>
                <w:color w:val="0000FF"/>
                <w:sz w:val="18"/>
                <w:szCs w:val="18"/>
              </w:rPr>
            </w:pPr>
          </w:p>
        </w:tc>
        <w:tc>
          <w:tcPr>
            <w:tcW w:w="904" w:type="dxa"/>
            <w:vMerge w:val="continue"/>
            <w:shd w:val="clear" w:color="auto" w:fill="auto"/>
          </w:tcPr>
          <w:p>
            <w:pPr>
              <w:jc w:val="center"/>
              <w:rPr>
                <w:rFonts w:ascii="宋体" w:hAnsi="宋体" w:cs="宋体"/>
                <w:color w:val="0000FF"/>
                <w:sz w:val="18"/>
                <w:szCs w:val="18"/>
              </w:rPr>
            </w:pPr>
          </w:p>
        </w:tc>
      </w:tr>
    </w:tbl>
    <w:p>
      <w:pPr>
        <w:pStyle w:val="12"/>
        <w:spacing w:before="75" w:after="75"/>
        <w:ind w:firstLine="480"/>
        <w:rPr>
          <w:rFonts w:hint="default" w:ascii="宋体" w:hAnsi="宋体" w:eastAsia="宋体" w:cs="宋体"/>
          <w:b/>
          <w:color w:val="0000FF"/>
          <w:sz w:val="24"/>
          <w:lang w:eastAsia="zh-CN"/>
        </w:rPr>
      </w:pPr>
      <w:r>
        <w:rPr>
          <w:rFonts w:ascii="宋体" w:hAnsi="宋体" w:eastAsia="宋体" w:cs="宋体"/>
          <w:b/>
          <w:color w:val="0000FF"/>
          <w:sz w:val="24"/>
          <w:lang w:eastAsia="zh-CN"/>
        </w:rPr>
        <w:t>2.3.6 菌筐技术参数及配套要求</w:t>
      </w:r>
    </w:p>
    <w:p/>
    <w:tbl>
      <w:tblPr>
        <w:tblStyle w:val="9"/>
        <w:tblW w:w="8426"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1420"/>
        <w:gridCol w:w="3977"/>
        <w:gridCol w:w="1512"/>
        <w:gridCol w:w="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序号</w:t>
            </w:r>
          </w:p>
        </w:tc>
        <w:tc>
          <w:tcPr>
            <w:tcW w:w="1420"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项目名称</w:t>
            </w:r>
          </w:p>
        </w:tc>
        <w:tc>
          <w:tcPr>
            <w:tcW w:w="3977" w:type="dxa"/>
            <w:shd w:val="clear" w:color="auto" w:fill="auto"/>
          </w:tcPr>
          <w:p>
            <w:pPr>
              <w:jc w:val="left"/>
              <w:rPr>
                <w:rFonts w:ascii="宋体" w:hAnsi="宋体" w:cs="宋体"/>
                <w:color w:val="0000FF"/>
                <w:sz w:val="18"/>
                <w:szCs w:val="18"/>
              </w:rPr>
            </w:pPr>
            <w:r>
              <w:rPr>
                <w:rFonts w:hint="eastAsia" w:ascii="宋体" w:hAnsi="宋体" w:cs="宋体"/>
                <w:color w:val="0000FF"/>
                <w:sz w:val="18"/>
                <w:szCs w:val="18"/>
              </w:rPr>
              <w:t>项目特征描述</w:t>
            </w:r>
          </w:p>
        </w:tc>
        <w:tc>
          <w:tcPr>
            <w:tcW w:w="1512"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计量单位</w:t>
            </w:r>
          </w:p>
        </w:tc>
        <w:tc>
          <w:tcPr>
            <w:tcW w:w="904" w:type="dxa"/>
            <w:shd w:val="clear" w:color="auto" w:fill="auto"/>
          </w:tcPr>
          <w:p>
            <w:pPr>
              <w:jc w:val="center"/>
              <w:rPr>
                <w:rFonts w:ascii="宋体" w:hAnsi="宋体" w:cs="宋体"/>
                <w:color w:val="0000FF"/>
                <w:sz w:val="18"/>
                <w:szCs w:val="18"/>
              </w:rPr>
            </w:pPr>
            <w:r>
              <w:rPr>
                <w:rFonts w:hint="eastAsia" w:ascii="宋体" w:hAnsi="宋体" w:cs="宋体"/>
                <w:color w:val="0000FF"/>
                <w:sz w:val="18"/>
                <w:szCs w:val="18"/>
              </w:rPr>
              <w:t>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widowControl/>
              <w:jc w:val="center"/>
              <w:textAlignment w:val="top"/>
              <w:rPr>
                <w:rFonts w:ascii="宋体" w:hAnsi="宋体" w:cs="宋体"/>
                <w:color w:val="0000FF"/>
                <w:kern w:val="0"/>
                <w:sz w:val="18"/>
                <w:szCs w:val="18"/>
                <w:lang w:bidi="ar"/>
              </w:rPr>
            </w:pPr>
            <w:r>
              <w:rPr>
                <w:rFonts w:hint="eastAsia" w:ascii="宋体" w:hAnsi="宋体" w:cs="宋体"/>
                <w:color w:val="0000FF"/>
                <w:kern w:val="0"/>
                <w:sz w:val="18"/>
                <w:szCs w:val="18"/>
                <w:lang w:bidi="ar"/>
              </w:rPr>
              <w:t>1</w:t>
            </w:r>
          </w:p>
        </w:tc>
        <w:tc>
          <w:tcPr>
            <w:tcW w:w="1420" w:type="dxa"/>
            <w:shd w:val="clear" w:color="auto" w:fill="auto"/>
          </w:tcPr>
          <w:p>
            <w:pPr>
              <w:widowControl/>
              <w:jc w:val="left"/>
              <w:textAlignment w:val="top"/>
              <w:rPr>
                <w:rStyle w:val="16"/>
                <w:rFonts w:hint="default"/>
                <w:color w:val="0000FF"/>
                <w:lang w:bidi="ar"/>
              </w:rPr>
            </w:pPr>
            <w:r>
              <w:rPr>
                <w:rStyle w:val="16"/>
                <w:rFonts w:hint="default"/>
                <w:color w:val="0000FF"/>
                <w:lang w:bidi="ar"/>
              </w:rPr>
              <w:t>茶树菇育菇框</w:t>
            </w:r>
          </w:p>
        </w:tc>
        <w:tc>
          <w:tcPr>
            <w:tcW w:w="3977" w:type="dxa"/>
            <w:shd w:val="clear" w:color="auto" w:fill="auto"/>
          </w:tcPr>
          <w:p>
            <w:pPr>
              <w:widowControl/>
              <w:jc w:val="left"/>
              <w:textAlignment w:val="top"/>
              <w:rPr>
                <w:rStyle w:val="16"/>
                <w:rFonts w:hint="default"/>
                <w:color w:val="0000FF"/>
                <w:lang w:bidi="ar"/>
              </w:rPr>
            </w:pPr>
            <w:r>
              <w:rPr>
                <w:rStyle w:val="16"/>
                <w:rFonts w:hint="default"/>
                <w:color w:val="0000FF"/>
                <w:lang w:bidi="ar"/>
              </w:rPr>
              <w:t>茶树菇育菇框</w:t>
            </w:r>
          </w:p>
        </w:tc>
        <w:tc>
          <w:tcPr>
            <w:tcW w:w="1512" w:type="dxa"/>
            <w:shd w:val="clear" w:color="auto" w:fill="auto"/>
          </w:tcPr>
          <w:p>
            <w:pPr>
              <w:widowControl/>
              <w:jc w:val="center"/>
              <w:textAlignment w:val="top"/>
              <w:rPr>
                <w:rStyle w:val="16"/>
                <w:rFonts w:hint="default"/>
                <w:color w:val="0000FF"/>
                <w:lang w:bidi="ar"/>
              </w:rPr>
            </w:pPr>
            <w:r>
              <w:rPr>
                <w:rStyle w:val="16"/>
                <w:rFonts w:hint="default"/>
                <w:color w:val="0000FF"/>
                <w:lang w:bidi="ar"/>
              </w:rPr>
              <w:t>个</w:t>
            </w:r>
          </w:p>
        </w:tc>
        <w:tc>
          <w:tcPr>
            <w:tcW w:w="904" w:type="dxa"/>
            <w:shd w:val="clear" w:color="auto" w:fill="auto"/>
          </w:tcPr>
          <w:p>
            <w:pPr>
              <w:rPr>
                <w:rFonts w:ascii="宋体" w:hAnsi="宋体" w:cs="宋体"/>
                <w:color w:val="0000FF"/>
                <w:sz w:val="18"/>
                <w:szCs w:val="18"/>
              </w:rPr>
            </w:pPr>
            <w:r>
              <w:rPr>
                <w:rFonts w:hint="eastAsia" w:ascii="宋体" w:hAnsi="宋体" w:cs="宋体"/>
                <w:color w:val="0000FF"/>
                <w:sz w:val="18"/>
                <w:szCs w:val="18"/>
              </w:rPr>
              <w:t>6624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widowControl/>
              <w:jc w:val="center"/>
              <w:textAlignment w:val="top"/>
              <w:rPr>
                <w:rFonts w:ascii="宋体" w:hAnsi="宋体" w:cs="宋体"/>
                <w:color w:val="0000FF"/>
                <w:kern w:val="0"/>
                <w:sz w:val="18"/>
                <w:szCs w:val="18"/>
                <w:lang w:bidi="ar"/>
              </w:rPr>
            </w:pPr>
            <w:r>
              <w:rPr>
                <w:rFonts w:hint="eastAsia" w:ascii="宋体" w:hAnsi="宋体" w:cs="宋体"/>
                <w:color w:val="0000FF"/>
                <w:kern w:val="0"/>
                <w:sz w:val="18"/>
                <w:szCs w:val="18"/>
                <w:lang w:bidi="ar"/>
              </w:rPr>
              <w:t>2</w:t>
            </w:r>
          </w:p>
        </w:tc>
        <w:tc>
          <w:tcPr>
            <w:tcW w:w="1420"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采菇框</w:t>
            </w:r>
          </w:p>
        </w:tc>
        <w:tc>
          <w:tcPr>
            <w:tcW w:w="3977"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蘑菇采菇框</w:t>
            </w:r>
          </w:p>
        </w:tc>
        <w:tc>
          <w:tcPr>
            <w:tcW w:w="1512" w:type="dxa"/>
            <w:shd w:val="clear" w:color="auto" w:fill="auto"/>
          </w:tcPr>
          <w:p>
            <w:pPr>
              <w:widowControl/>
              <w:jc w:val="center"/>
              <w:textAlignment w:val="top"/>
              <w:rPr>
                <w:rStyle w:val="16"/>
                <w:rFonts w:hint="default"/>
                <w:color w:val="0000FF"/>
                <w:lang w:bidi="ar"/>
              </w:rPr>
            </w:pPr>
            <w:r>
              <w:rPr>
                <w:rStyle w:val="16"/>
                <w:rFonts w:hint="default"/>
                <w:color w:val="0000FF"/>
                <w:lang w:bidi="ar"/>
              </w:rPr>
              <w:t>个</w:t>
            </w:r>
          </w:p>
        </w:tc>
        <w:tc>
          <w:tcPr>
            <w:tcW w:w="904" w:type="dxa"/>
            <w:shd w:val="clear" w:color="auto" w:fill="auto"/>
          </w:tcPr>
          <w:p>
            <w:pPr>
              <w:rPr>
                <w:rFonts w:ascii="宋体" w:hAnsi="宋体" w:cs="宋体"/>
                <w:color w:val="0000FF"/>
                <w:sz w:val="18"/>
                <w:szCs w:val="18"/>
              </w:rPr>
            </w:pPr>
            <w:r>
              <w:rPr>
                <w:rFonts w:hint="eastAsia" w:ascii="宋体" w:hAnsi="宋体" w:cs="宋体"/>
                <w:color w:val="0000FF"/>
                <w:sz w:val="18"/>
                <w:szCs w:val="18"/>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widowControl/>
              <w:jc w:val="center"/>
              <w:textAlignment w:val="top"/>
              <w:rPr>
                <w:rFonts w:ascii="宋体" w:hAnsi="宋体" w:cs="宋体"/>
                <w:color w:val="0000FF"/>
                <w:kern w:val="0"/>
                <w:sz w:val="18"/>
                <w:szCs w:val="18"/>
                <w:lang w:bidi="ar"/>
              </w:rPr>
            </w:pPr>
            <w:r>
              <w:rPr>
                <w:rFonts w:hint="eastAsia" w:ascii="宋体" w:hAnsi="宋体" w:cs="宋体"/>
                <w:color w:val="0000FF"/>
                <w:kern w:val="0"/>
                <w:sz w:val="18"/>
                <w:szCs w:val="18"/>
                <w:lang w:bidi="ar"/>
              </w:rPr>
              <w:t>3</w:t>
            </w:r>
          </w:p>
        </w:tc>
        <w:tc>
          <w:tcPr>
            <w:tcW w:w="1420"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存储菌框</w:t>
            </w:r>
          </w:p>
        </w:tc>
        <w:tc>
          <w:tcPr>
            <w:tcW w:w="3977"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冷库存储菌框</w:t>
            </w:r>
          </w:p>
        </w:tc>
        <w:tc>
          <w:tcPr>
            <w:tcW w:w="1512" w:type="dxa"/>
            <w:shd w:val="clear" w:color="auto" w:fill="auto"/>
          </w:tcPr>
          <w:p>
            <w:pPr>
              <w:widowControl/>
              <w:jc w:val="center"/>
              <w:textAlignment w:val="top"/>
              <w:rPr>
                <w:rStyle w:val="16"/>
                <w:rFonts w:hint="default"/>
                <w:color w:val="0000FF"/>
                <w:lang w:bidi="ar"/>
              </w:rPr>
            </w:pPr>
            <w:r>
              <w:rPr>
                <w:rStyle w:val="16"/>
                <w:rFonts w:hint="default"/>
                <w:color w:val="0000FF"/>
                <w:lang w:bidi="ar"/>
              </w:rPr>
              <w:t>个</w:t>
            </w:r>
          </w:p>
        </w:tc>
        <w:tc>
          <w:tcPr>
            <w:tcW w:w="904" w:type="dxa"/>
            <w:shd w:val="clear" w:color="auto" w:fill="auto"/>
          </w:tcPr>
          <w:p>
            <w:pPr>
              <w:rPr>
                <w:rFonts w:ascii="宋体" w:hAnsi="宋体" w:cs="宋体"/>
                <w:color w:val="0000FF"/>
                <w:sz w:val="18"/>
                <w:szCs w:val="18"/>
              </w:rPr>
            </w:pPr>
            <w:r>
              <w:rPr>
                <w:rFonts w:hint="eastAsia" w:ascii="宋体" w:hAnsi="宋体" w:cs="宋体"/>
                <w:color w:val="0000FF"/>
                <w:sz w:val="18"/>
                <w:szCs w:val="18"/>
              </w:rPr>
              <w:t>1000</w:t>
            </w:r>
          </w:p>
        </w:tc>
      </w:tr>
    </w:tbl>
    <w:p>
      <w:pPr>
        <w:pStyle w:val="12"/>
        <w:spacing w:before="75" w:after="75"/>
        <w:ind w:firstLine="480"/>
        <w:rPr>
          <w:rFonts w:hint="default" w:ascii="宋体" w:hAnsi="宋体" w:eastAsia="宋体" w:cs="宋体"/>
          <w:b/>
          <w:color w:val="0000FF"/>
          <w:sz w:val="24"/>
          <w:highlight w:val="none"/>
          <w:lang w:eastAsia="zh-CN"/>
        </w:rPr>
      </w:pPr>
      <w:r>
        <w:rPr>
          <w:rFonts w:ascii="宋体" w:hAnsi="宋体" w:eastAsia="宋体" w:cs="宋体"/>
          <w:b/>
          <w:color w:val="0000FF"/>
          <w:sz w:val="24"/>
          <w:highlight w:val="none"/>
          <w:lang w:eastAsia="zh-CN"/>
        </w:rPr>
        <w:t>2.3.</w:t>
      </w:r>
      <w:r>
        <w:rPr>
          <w:rFonts w:hint="eastAsia" w:ascii="宋体" w:hAnsi="宋体" w:eastAsia="宋体" w:cs="宋体"/>
          <w:b/>
          <w:color w:val="0000FF"/>
          <w:sz w:val="24"/>
          <w:highlight w:val="none"/>
          <w:lang w:val="en-US" w:eastAsia="zh-CN"/>
        </w:rPr>
        <w:t>7</w:t>
      </w:r>
      <w:r>
        <w:rPr>
          <w:rFonts w:ascii="宋体" w:hAnsi="宋体" w:eastAsia="宋体" w:cs="宋体"/>
          <w:b/>
          <w:color w:val="0000FF"/>
          <w:sz w:val="24"/>
          <w:highlight w:val="none"/>
          <w:lang w:eastAsia="zh-CN"/>
        </w:rPr>
        <w:t xml:space="preserve"> 中央空调技术参数及配套要求</w:t>
      </w:r>
    </w:p>
    <w:tbl>
      <w:tblPr>
        <w:tblStyle w:val="9"/>
        <w:tblW w:w="8426"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1162"/>
        <w:gridCol w:w="4169"/>
        <w:gridCol w:w="1578"/>
        <w:gridCol w:w="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3" w:type="dxa"/>
            <w:shd w:val="clear" w:color="auto" w:fill="auto"/>
          </w:tcPr>
          <w:p>
            <w:pPr>
              <w:jc w:val="center"/>
              <w:rPr>
                <w:rFonts w:ascii="宋体" w:hAnsi="宋体" w:cs="宋体"/>
                <w:color w:val="0000FF"/>
                <w:sz w:val="18"/>
                <w:szCs w:val="18"/>
                <w:highlight w:val="none"/>
              </w:rPr>
            </w:pPr>
            <w:r>
              <w:rPr>
                <w:rFonts w:hint="eastAsia" w:ascii="宋体" w:hAnsi="宋体" w:cs="宋体"/>
                <w:color w:val="0000FF"/>
                <w:sz w:val="18"/>
                <w:szCs w:val="18"/>
                <w:highlight w:val="none"/>
              </w:rPr>
              <w:t>序号</w:t>
            </w:r>
          </w:p>
        </w:tc>
        <w:tc>
          <w:tcPr>
            <w:tcW w:w="1162" w:type="dxa"/>
            <w:shd w:val="clear" w:color="auto" w:fill="auto"/>
          </w:tcPr>
          <w:p>
            <w:pPr>
              <w:widowControl/>
              <w:jc w:val="left"/>
              <w:textAlignment w:val="top"/>
              <w:rPr>
                <w:rFonts w:ascii="宋体" w:hAnsi="宋体" w:cs="宋体"/>
                <w:color w:val="0000FF"/>
                <w:sz w:val="18"/>
                <w:szCs w:val="18"/>
                <w:highlight w:val="none"/>
              </w:rPr>
            </w:pPr>
            <w:r>
              <w:rPr>
                <w:rStyle w:val="16"/>
                <w:rFonts w:hint="default"/>
                <w:color w:val="0000FF"/>
                <w:highlight w:val="none"/>
                <w:lang w:bidi="ar"/>
              </w:rPr>
              <w:t>项目名称</w:t>
            </w:r>
          </w:p>
        </w:tc>
        <w:tc>
          <w:tcPr>
            <w:tcW w:w="4169" w:type="dxa"/>
            <w:shd w:val="clear" w:color="auto" w:fill="auto"/>
          </w:tcPr>
          <w:p>
            <w:pPr>
              <w:jc w:val="left"/>
              <w:rPr>
                <w:rFonts w:ascii="宋体" w:hAnsi="宋体" w:cs="宋体"/>
                <w:color w:val="0000FF"/>
                <w:sz w:val="18"/>
                <w:szCs w:val="18"/>
                <w:highlight w:val="none"/>
              </w:rPr>
            </w:pPr>
            <w:r>
              <w:rPr>
                <w:rFonts w:hint="eastAsia" w:ascii="宋体" w:hAnsi="宋体" w:cs="宋体"/>
                <w:color w:val="0000FF"/>
                <w:sz w:val="18"/>
                <w:szCs w:val="18"/>
                <w:highlight w:val="none"/>
              </w:rPr>
              <w:t>项目特征描述</w:t>
            </w:r>
          </w:p>
        </w:tc>
        <w:tc>
          <w:tcPr>
            <w:tcW w:w="1578" w:type="dxa"/>
            <w:shd w:val="clear" w:color="auto" w:fill="auto"/>
          </w:tcPr>
          <w:p>
            <w:pPr>
              <w:jc w:val="center"/>
              <w:rPr>
                <w:rFonts w:ascii="宋体" w:hAnsi="宋体" w:cs="宋体"/>
                <w:color w:val="0000FF"/>
                <w:sz w:val="18"/>
                <w:szCs w:val="18"/>
                <w:highlight w:val="none"/>
              </w:rPr>
            </w:pPr>
            <w:r>
              <w:rPr>
                <w:rFonts w:hint="eastAsia" w:ascii="宋体" w:hAnsi="宋体" w:cs="宋体"/>
                <w:color w:val="0000FF"/>
                <w:sz w:val="18"/>
                <w:szCs w:val="18"/>
                <w:highlight w:val="none"/>
              </w:rPr>
              <w:t>计量单位</w:t>
            </w:r>
          </w:p>
        </w:tc>
        <w:tc>
          <w:tcPr>
            <w:tcW w:w="904" w:type="dxa"/>
            <w:shd w:val="clear" w:color="auto" w:fill="auto"/>
          </w:tcPr>
          <w:p>
            <w:pPr>
              <w:jc w:val="center"/>
              <w:rPr>
                <w:rFonts w:ascii="宋体" w:hAnsi="宋体" w:cs="宋体"/>
                <w:color w:val="0000FF"/>
                <w:sz w:val="18"/>
                <w:szCs w:val="18"/>
                <w:highlight w:val="none"/>
              </w:rPr>
            </w:pPr>
            <w:r>
              <w:rPr>
                <w:rFonts w:hint="eastAsia" w:ascii="宋体" w:hAnsi="宋体" w:cs="宋体"/>
                <w:color w:val="0000FF"/>
                <w:sz w:val="18"/>
                <w:szCs w:val="18"/>
                <w:highlight w:val="none"/>
              </w:rPr>
              <w:t>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widowControl/>
              <w:jc w:val="center"/>
              <w:textAlignment w:val="top"/>
              <w:rPr>
                <w:rFonts w:ascii="宋体" w:hAnsi="宋体" w:cs="宋体"/>
                <w:color w:val="0000FF"/>
                <w:sz w:val="18"/>
                <w:szCs w:val="18"/>
                <w:highlight w:val="none"/>
              </w:rPr>
            </w:pPr>
            <w:r>
              <w:rPr>
                <w:rFonts w:hint="eastAsia" w:ascii="宋体" w:hAnsi="宋体" w:cs="宋体"/>
                <w:color w:val="0000FF"/>
                <w:kern w:val="0"/>
                <w:sz w:val="18"/>
                <w:szCs w:val="18"/>
                <w:highlight w:val="none"/>
                <w:lang w:bidi="ar"/>
              </w:rPr>
              <w:t>1</w:t>
            </w:r>
          </w:p>
        </w:tc>
        <w:tc>
          <w:tcPr>
            <w:tcW w:w="1162" w:type="dxa"/>
            <w:shd w:val="clear" w:color="auto" w:fill="auto"/>
          </w:tcPr>
          <w:p>
            <w:pPr>
              <w:widowControl/>
              <w:jc w:val="left"/>
              <w:textAlignment w:val="top"/>
              <w:rPr>
                <w:rStyle w:val="16"/>
                <w:rFonts w:hint="default"/>
                <w:color w:val="0000FF"/>
                <w:highlight w:val="none"/>
                <w:lang w:bidi="ar"/>
              </w:rPr>
            </w:pPr>
            <w:r>
              <w:rPr>
                <w:rStyle w:val="16"/>
                <w:color w:val="0000FF"/>
                <w:highlight w:val="none"/>
                <w:lang w:bidi="ar"/>
              </w:rPr>
              <w:t>空调室内风管机</w:t>
            </w:r>
          </w:p>
        </w:tc>
        <w:tc>
          <w:tcPr>
            <w:tcW w:w="4169" w:type="dxa"/>
            <w:shd w:val="clear" w:color="auto" w:fill="auto"/>
          </w:tcPr>
          <w:p>
            <w:pPr>
              <w:widowControl/>
              <w:jc w:val="left"/>
              <w:textAlignment w:val="top"/>
              <w:rPr>
                <w:rFonts w:ascii="宋体" w:hAnsi="宋体" w:cs="宋体"/>
                <w:color w:val="0000FF"/>
                <w:sz w:val="18"/>
                <w:szCs w:val="18"/>
                <w:highlight w:val="none"/>
              </w:rPr>
            </w:pPr>
            <w:r>
              <w:rPr>
                <w:rStyle w:val="16"/>
                <w:color w:val="0000FF"/>
                <w:highlight w:val="none"/>
                <w:lang w:bidi="ar"/>
              </w:rPr>
              <w:t>制冷量16kw，制热量18kw，静压95pa，功率210w，噪音43dB(A)，风量2350m³/h,尺寸（宽高深）1400*245*750mm</w:t>
            </w:r>
          </w:p>
        </w:tc>
        <w:tc>
          <w:tcPr>
            <w:tcW w:w="1578" w:type="dxa"/>
            <w:shd w:val="clear" w:color="auto" w:fill="auto"/>
          </w:tcPr>
          <w:p>
            <w:pPr>
              <w:widowControl/>
              <w:jc w:val="center"/>
              <w:textAlignment w:val="top"/>
              <w:rPr>
                <w:rFonts w:ascii="宋体" w:hAnsi="宋体" w:cs="宋体"/>
                <w:color w:val="0000FF"/>
                <w:sz w:val="18"/>
                <w:szCs w:val="18"/>
                <w:highlight w:val="none"/>
              </w:rPr>
            </w:pPr>
            <w:r>
              <w:rPr>
                <w:rFonts w:hint="eastAsia" w:ascii="宋体" w:hAnsi="宋体" w:cs="宋体"/>
                <w:color w:val="0000FF"/>
                <w:sz w:val="18"/>
                <w:szCs w:val="18"/>
                <w:highlight w:val="none"/>
              </w:rPr>
              <w:t>台</w:t>
            </w:r>
          </w:p>
        </w:tc>
        <w:tc>
          <w:tcPr>
            <w:tcW w:w="904" w:type="dxa"/>
            <w:shd w:val="clear" w:color="auto" w:fill="auto"/>
          </w:tcPr>
          <w:p>
            <w:pPr>
              <w:rPr>
                <w:rFonts w:ascii="宋体" w:hAnsi="宋体" w:cs="宋体"/>
                <w:color w:val="0000FF"/>
                <w:sz w:val="18"/>
                <w:szCs w:val="18"/>
                <w:highlight w:val="none"/>
              </w:rPr>
            </w:pPr>
            <w:r>
              <w:rPr>
                <w:rFonts w:hint="eastAsia" w:ascii="宋体" w:hAnsi="宋体" w:cs="宋体"/>
                <w:color w:val="0000FF"/>
                <w:sz w:val="18"/>
                <w:szCs w:val="18"/>
                <w:highlight w:val="none"/>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widowControl/>
              <w:jc w:val="center"/>
              <w:textAlignment w:val="top"/>
              <w:rPr>
                <w:rFonts w:ascii="宋体" w:hAnsi="宋体" w:cs="宋体"/>
                <w:color w:val="0000FF"/>
                <w:sz w:val="18"/>
                <w:szCs w:val="18"/>
                <w:highlight w:val="none"/>
              </w:rPr>
            </w:pPr>
            <w:r>
              <w:rPr>
                <w:rFonts w:ascii="宋体" w:hAnsi="宋体" w:cs="宋体"/>
                <w:color w:val="0000FF"/>
                <w:kern w:val="0"/>
                <w:sz w:val="18"/>
                <w:szCs w:val="18"/>
                <w:highlight w:val="none"/>
                <w:lang w:bidi="ar"/>
              </w:rPr>
              <w:t>2</w:t>
            </w:r>
          </w:p>
        </w:tc>
        <w:tc>
          <w:tcPr>
            <w:tcW w:w="1162" w:type="dxa"/>
            <w:shd w:val="clear" w:color="auto" w:fill="auto"/>
          </w:tcPr>
          <w:p>
            <w:pPr>
              <w:widowControl/>
              <w:jc w:val="left"/>
              <w:textAlignment w:val="top"/>
              <w:rPr>
                <w:rStyle w:val="16"/>
                <w:rFonts w:hint="default"/>
                <w:color w:val="0000FF"/>
                <w:highlight w:val="none"/>
                <w:lang w:bidi="ar"/>
              </w:rPr>
            </w:pPr>
            <w:r>
              <w:rPr>
                <w:rStyle w:val="16"/>
                <w:color w:val="0000FF"/>
                <w:highlight w:val="none"/>
                <w:lang w:bidi="ar"/>
              </w:rPr>
              <w:t>空调室内风管机</w:t>
            </w:r>
          </w:p>
        </w:tc>
        <w:tc>
          <w:tcPr>
            <w:tcW w:w="4169" w:type="dxa"/>
            <w:shd w:val="clear" w:color="auto" w:fill="auto"/>
          </w:tcPr>
          <w:p>
            <w:pPr>
              <w:widowControl/>
              <w:jc w:val="left"/>
              <w:textAlignment w:val="top"/>
              <w:rPr>
                <w:rFonts w:ascii="宋体" w:hAnsi="宋体" w:cs="宋体"/>
                <w:color w:val="0000FF"/>
                <w:sz w:val="18"/>
                <w:szCs w:val="18"/>
                <w:highlight w:val="none"/>
              </w:rPr>
            </w:pPr>
            <w:r>
              <w:rPr>
                <w:rStyle w:val="16"/>
                <w:color w:val="0000FF"/>
                <w:highlight w:val="none"/>
                <w:lang w:bidi="ar"/>
              </w:rPr>
              <w:t>制冷量16kw，制热量18kw，静压95pa，功率210w，噪音43dB(A)，风量2350m³</w:t>
            </w:r>
            <w:r>
              <w:rPr>
                <w:rStyle w:val="16"/>
                <w:rFonts w:hint="default"/>
                <w:color w:val="0000FF"/>
                <w:highlight w:val="none"/>
                <w:lang w:bidi="ar"/>
              </w:rPr>
              <w:t>/h</w:t>
            </w:r>
          </w:p>
        </w:tc>
        <w:tc>
          <w:tcPr>
            <w:tcW w:w="1578" w:type="dxa"/>
            <w:shd w:val="clear" w:color="auto" w:fill="auto"/>
          </w:tcPr>
          <w:p>
            <w:pPr>
              <w:widowControl/>
              <w:jc w:val="center"/>
              <w:textAlignment w:val="top"/>
              <w:rPr>
                <w:rFonts w:ascii="宋体" w:hAnsi="宋体" w:cs="宋体"/>
                <w:color w:val="0000FF"/>
                <w:sz w:val="18"/>
                <w:szCs w:val="18"/>
                <w:highlight w:val="none"/>
              </w:rPr>
            </w:pPr>
            <w:r>
              <w:rPr>
                <w:rFonts w:hint="eastAsia" w:ascii="宋体" w:hAnsi="宋体" w:cs="宋体"/>
                <w:color w:val="0000FF"/>
                <w:sz w:val="18"/>
                <w:szCs w:val="18"/>
                <w:highlight w:val="none"/>
              </w:rPr>
              <w:t>台</w:t>
            </w:r>
          </w:p>
        </w:tc>
        <w:tc>
          <w:tcPr>
            <w:tcW w:w="904" w:type="dxa"/>
            <w:shd w:val="clear" w:color="auto" w:fill="auto"/>
          </w:tcPr>
          <w:p>
            <w:pPr>
              <w:rPr>
                <w:rFonts w:ascii="宋体" w:hAnsi="宋体" w:cs="宋体"/>
                <w:color w:val="0000FF"/>
                <w:sz w:val="18"/>
                <w:szCs w:val="18"/>
                <w:highlight w:val="none"/>
              </w:rPr>
            </w:pPr>
            <w:r>
              <w:rPr>
                <w:rFonts w:hint="eastAsia" w:ascii="宋体" w:hAnsi="宋体" w:cs="宋体"/>
                <w:color w:val="0000FF"/>
                <w:sz w:val="18"/>
                <w:szCs w:val="18"/>
                <w:highlight w:val="none"/>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widowControl/>
              <w:jc w:val="center"/>
              <w:textAlignment w:val="top"/>
              <w:rPr>
                <w:rFonts w:ascii="宋体" w:hAnsi="宋体" w:cs="宋体"/>
                <w:color w:val="0000FF"/>
                <w:sz w:val="18"/>
                <w:szCs w:val="18"/>
                <w:highlight w:val="none"/>
              </w:rPr>
            </w:pPr>
            <w:r>
              <w:rPr>
                <w:rFonts w:ascii="宋体" w:hAnsi="宋体" w:cs="宋体"/>
                <w:color w:val="0000FF"/>
                <w:kern w:val="0"/>
                <w:sz w:val="18"/>
                <w:szCs w:val="18"/>
                <w:highlight w:val="none"/>
                <w:lang w:bidi="ar"/>
              </w:rPr>
              <w:t>3</w:t>
            </w:r>
          </w:p>
        </w:tc>
        <w:tc>
          <w:tcPr>
            <w:tcW w:w="1162" w:type="dxa"/>
            <w:shd w:val="clear" w:color="auto" w:fill="auto"/>
          </w:tcPr>
          <w:p>
            <w:pPr>
              <w:widowControl/>
              <w:jc w:val="left"/>
              <w:textAlignment w:val="top"/>
              <w:rPr>
                <w:rStyle w:val="16"/>
                <w:rFonts w:hint="default"/>
                <w:color w:val="0000FF"/>
                <w:highlight w:val="none"/>
                <w:lang w:bidi="ar"/>
              </w:rPr>
            </w:pPr>
            <w:r>
              <w:rPr>
                <w:rStyle w:val="16"/>
                <w:color w:val="0000FF"/>
                <w:highlight w:val="none"/>
                <w:lang w:bidi="ar"/>
              </w:rPr>
              <w:t>多联机室外机</w:t>
            </w:r>
          </w:p>
        </w:tc>
        <w:tc>
          <w:tcPr>
            <w:tcW w:w="4169" w:type="dxa"/>
            <w:shd w:val="clear" w:color="auto" w:fill="auto"/>
          </w:tcPr>
          <w:p>
            <w:pPr>
              <w:widowControl/>
              <w:jc w:val="left"/>
              <w:textAlignment w:val="top"/>
              <w:rPr>
                <w:rFonts w:ascii="宋体" w:hAnsi="宋体" w:cs="宋体"/>
                <w:color w:val="0000FF"/>
                <w:sz w:val="18"/>
                <w:szCs w:val="18"/>
                <w:highlight w:val="none"/>
              </w:rPr>
            </w:pPr>
            <w:r>
              <w:rPr>
                <w:rStyle w:val="16"/>
                <w:color w:val="0000FF"/>
                <w:highlight w:val="none"/>
                <w:lang w:bidi="ar"/>
              </w:rPr>
              <w:t>制冷量106kw，制热量119kw，制冷功率30.51kw，制热功率29.58kw，APF4.0，噪音67dB(A)，风量30000m³/h，尺寸（宽高深）1880*1760*825mm，质量434kg</w:t>
            </w:r>
          </w:p>
        </w:tc>
        <w:tc>
          <w:tcPr>
            <w:tcW w:w="1578" w:type="dxa"/>
            <w:shd w:val="clear" w:color="auto" w:fill="auto"/>
          </w:tcPr>
          <w:p>
            <w:pPr>
              <w:widowControl/>
              <w:jc w:val="center"/>
              <w:textAlignment w:val="top"/>
              <w:rPr>
                <w:rFonts w:ascii="宋体" w:hAnsi="宋体" w:cs="宋体"/>
                <w:color w:val="0000FF"/>
                <w:sz w:val="18"/>
                <w:szCs w:val="18"/>
                <w:highlight w:val="none"/>
              </w:rPr>
            </w:pPr>
            <w:r>
              <w:rPr>
                <w:rFonts w:hint="eastAsia" w:ascii="宋体" w:hAnsi="宋体" w:cs="宋体"/>
                <w:color w:val="0000FF"/>
                <w:sz w:val="18"/>
                <w:szCs w:val="18"/>
                <w:highlight w:val="none"/>
              </w:rPr>
              <w:t>台</w:t>
            </w:r>
          </w:p>
        </w:tc>
        <w:tc>
          <w:tcPr>
            <w:tcW w:w="904" w:type="dxa"/>
            <w:shd w:val="clear" w:color="auto" w:fill="auto"/>
          </w:tcPr>
          <w:p>
            <w:pPr>
              <w:rPr>
                <w:rFonts w:ascii="宋体" w:hAnsi="宋体" w:cs="宋体"/>
                <w:color w:val="0000FF"/>
                <w:sz w:val="18"/>
                <w:szCs w:val="18"/>
                <w:highlight w:val="none"/>
              </w:rPr>
            </w:pPr>
            <w:r>
              <w:rPr>
                <w:rFonts w:hint="eastAsia" w:ascii="宋体" w:hAnsi="宋体" w:cs="宋体"/>
                <w:color w:val="0000FF"/>
                <w:sz w:val="18"/>
                <w:szCs w:val="18"/>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widowControl/>
              <w:jc w:val="center"/>
              <w:textAlignment w:val="top"/>
              <w:rPr>
                <w:rFonts w:ascii="宋体" w:hAnsi="宋体" w:cs="宋体"/>
                <w:color w:val="0000FF"/>
                <w:sz w:val="18"/>
                <w:szCs w:val="18"/>
                <w:highlight w:val="none"/>
              </w:rPr>
            </w:pPr>
            <w:r>
              <w:rPr>
                <w:rFonts w:ascii="宋体" w:hAnsi="宋体" w:cs="宋体"/>
                <w:color w:val="0000FF"/>
                <w:kern w:val="0"/>
                <w:sz w:val="18"/>
                <w:szCs w:val="18"/>
                <w:highlight w:val="none"/>
                <w:lang w:bidi="ar"/>
              </w:rPr>
              <w:t>4</w:t>
            </w:r>
          </w:p>
        </w:tc>
        <w:tc>
          <w:tcPr>
            <w:tcW w:w="1162" w:type="dxa"/>
            <w:shd w:val="clear" w:color="auto" w:fill="auto"/>
          </w:tcPr>
          <w:p>
            <w:pPr>
              <w:widowControl/>
              <w:jc w:val="left"/>
              <w:textAlignment w:val="top"/>
              <w:rPr>
                <w:rStyle w:val="16"/>
                <w:rFonts w:hint="default"/>
                <w:color w:val="0000FF"/>
                <w:highlight w:val="none"/>
                <w:lang w:bidi="ar"/>
              </w:rPr>
            </w:pPr>
            <w:r>
              <w:rPr>
                <w:rStyle w:val="16"/>
                <w:color w:val="0000FF"/>
                <w:highlight w:val="none"/>
                <w:lang w:bidi="ar"/>
              </w:rPr>
              <w:t>多联机室外机</w:t>
            </w:r>
          </w:p>
        </w:tc>
        <w:tc>
          <w:tcPr>
            <w:tcW w:w="4169" w:type="dxa"/>
            <w:shd w:val="clear" w:color="auto" w:fill="auto"/>
          </w:tcPr>
          <w:p>
            <w:pPr>
              <w:widowControl/>
              <w:jc w:val="left"/>
              <w:textAlignment w:val="top"/>
              <w:rPr>
                <w:rFonts w:ascii="宋体" w:hAnsi="宋体" w:cs="宋体"/>
                <w:color w:val="0000FF"/>
                <w:sz w:val="18"/>
                <w:szCs w:val="18"/>
                <w:highlight w:val="none"/>
              </w:rPr>
            </w:pPr>
            <w:r>
              <w:rPr>
                <w:rStyle w:val="16"/>
                <w:color w:val="0000FF"/>
                <w:highlight w:val="none"/>
                <w:lang w:bidi="ar"/>
              </w:rPr>
              <w:t>制冷量117kw，制热量130kw，制冷功率34.96kw，制热功率32.95kw，APF4.0，噪音68dB(A)，风量30000m³/h，尺寸（宽高深）1880*1760*825mm，质量436kg</w:t>
            </w:r>
          </w:p>
        </w:tc>
        <w:tc>
          <w:tcPr>
            <w:tcW w:w="1578" w:type="dxa"/>
            <w:shd w:val="clear" w:color="auto" w:fill="auto"/>
          </w:tcPr>
          <w:p>
            <w:pPr>
              <w:widowControl/>
              <w:jc w:val="center"/>
              <w:textAlignment w:val="top"/>
              <w:rPr>
                <w:rFonts w:ascii="宋体" w:hAnsi="宋体" w:cs="宋体"/>
                <w:color w:val="0000FF"/>
                <w:sz w:val="18"/>
                <w:szCs w:val="18"/>
                <w:highlight w:val="none"/>
              </w:rPr>
            </w:pPr>
            <w:r>
              <w:rPr>
                <w:rFonts w:hint="eastAsia" w:ascii="宋体" w:hAnsi="宋体" w:cs="宋体"/>
                <w:color w:val="0000FF"/>
                <w:sz w:val="18"/>
                <w:szCs w:val="18"/>
                <w:highlight w:val="none"/>
              </w:rPr>
              <w:t>台</w:t>
            </w:r>
          </w:p>
        </w:tc>
        <w:tc>
          <w:tcPr>
            <w:tcW w:w="904" w:type="dxa"/>
            <w:shd w:val="clear" w:color="auto" w:fill="auto"/>
          </w:tcPr>
          <w:p>
            <w:pPr>
              <w:rPr>
                <w:rFonts w:ascii="宋体" w:hAnsi="宋体" w:cs="宋体"/>
                <w:color w:val="0000FF"/>
                <w:sz w:val="18"/>
                <w:szCs w:val="18"/>
                <w:highlight w:val="none"/>
              </w:rPr>
            </w:pPr>
            <w:r>
              <w:rPr>
                <w:rFonts w:hint="eastAsia" w:ascii="宋体" w:hAnsi="宋体" w:cs="宋体"/>
                <w:color w:val="0000FF"/>
                <w:sz w:val="18"/>
                <w:szCs w:val="18"/>
                <w:highlight w:val="none"/>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widowControl/>
              <w:jc w:val="center"/>
              <w:textAlignment w:val="top"/>
              <w:rPr>
                <w:rFonts w:ascii="宋体" w:hAnsi="宋体" w:cs="宋体"/>
                <w:color w:val="0000FF"/>
                <w:sz w:val="18"/>
                <w:szCs w:val="18"/>
                <w:highlight w:val="none"/>
              </w:rPr>
            </w:pPr>
            <w:r>
              <w:rPr>
                <w:rFonts w:ascii="宋体" w:hAnsi="宋体" w:cs="宋体"/>
                <w:color w:val="0000FF"/>
                <w:kern w:val="0"/>
                <w:sz w:val="18"/>
                <w:szCs w:val="18"/>
                <w:highlight w:val="none"/>
                <w:lang w:bidi="ar"/>
              </w:rPr>
              <w:t>5</w:t>
            </w:r>
          </w:p>
        </w:tc>
        <w:tc>
          <w:tcPr>
            <w:tcW w:w="1162" w:type="dxa"/>
            <w:shd w:val="clear" w:color="auto" w:fill="auto"/>
          </w:tcPr>
          <w:p>
            <w:pPr>
              <w:widowControl/>
              <w:jc w:val="left"/>
              <w:textAlignment w:val="top"/>
              <w:rPr>
                <w:rStyle w:val="16"/>
                <w:rFonts w:hint="default"/>
                <w:color w:val="0000FF"/>
                <w:highlight w:val="none"/>
                <w:lang w:bidi="ar"/>
              </w:rPr>
            </w:pPr>
            <w:r>
              <w:rPr>
                <w:rStyle w:val="16"/>
                <w:color w:val="0000FF"/>
                <w:highlight w:val="none"/>
                <w:lang w:bidi="ar"/>
              </w:rPr>
              <w:t>空调新风直膨机</w:t>
            </w:r>
          </w:p>
        </w:tc>
        <w:tc>
          <w:tcPr>
            <w:tcW w:w="4169" w:type="dxa"/>
            <w:shd w:val="clear" w:color="auto" w:fill="auto"/>
          </w:tcPr>
          <w:p>
            <w:pPr>
              <w:widowControl/>
              <w:jc w:val="left"/>
              <w:textAlignment w:val="top"/>
              <w:rPr>
                <w:rStyle w:val="16"/>
                <w:color w:val="0000FF"/>
                <w:highlight w:val="none"/>
                <w:lang w:bidi="ar"/>
              </w:rPr>
            </w:pPr>
            <w:r>
              <w:rPr>
                <w:rStyle w:val="16"/>
                <w:color w:val="0000FF"/>
                <w:highlight w:val="none"/>
                <w:lang w:bidi="ar"/>
              </w:rPr>
              <w:t>制冷量25.2kw，制热量27kw，功率1.5kw，风量2500m³/h，机外静压400pa,尺寸（长*宽*高 (mm)）2300*1070*742mm</w:t>
            </w:r>
          </w:p>
          <w:p>
            <w:pPr>
              <w:widowControl/>
              <w:jc w:val="left"/>
              <w:textAlignment w:val="top"/>
              <w:rPr>
                <w:rFonts w:ascii="宋体" w:hAnsi="宋体" w:cs="宋体"/>
                <w:color w:val="0000FF"/>
                <w:sz w:val="18"/>
                <w:szCs w:val="18"/>
                <w:highlight w:val="none"/>
              </w:rPr>
            </w:pPr>
            <w:r>
              <w:rPr>
                <w:rStyle w:val="16"/>
                <w:color w:val="0000FF"/>
                <w:highlight w:val="none"/>
                <w:lang w:bidi="ar"/>
              </w:rPr>
              <w:t>进风段,初中效过滤段,直膨盘管,送风机</w:t>
            </w:r>
          </w:p>
        </w:tc>
        <w:tc>
          <w:tcPr>
            <w:tcW w:w="1578" w:type="dxa"/>
            <w:shd w:val="clear" w:color="auto" w:fill="auto"/>
          </w:tcPr>
          <w:p>
            <w:pPr>
              <w:widowControl/>
              <w:jc w:val="center"/>
              <w:textAlignment w:val="top"/>
              <w:rPr>
                <w:rFonts w:ascii="宋体" w:hAnsi="宋体" w:cs="宋体"/>
                <w:color w:val="0000FF"/>
                <w:sz w:val="18"/>
                <w:szCs w:val="18"/>
                <w:highlight w:val="none"/>
              </w:rPr>
            </w:pPr>
            <w:r>
              <w:rPr>
                <w:rFonts w:hint="eastAsia" w:ascii="宋体" w:hAnsi="宋体" w:cs="宋体"/>
                <w:color w:val="0000FF"/>
                <w:sz w:val="18"/>
                <w:szCs w:val="18"/>
                <w:highlight w:val="none"/>
              </w:rPr>
              <w:t>台</w:t>
            </w:r>
          </w:p>
        </w:tc>
        <w:tc>
          <w:tcPr>
            <w:tcW w:w="904" w:type="dxa"/>
            <w:shd w:val="clear" w:color="auto" w:fill="auto"/>
          </w:tcPr>
          <w:p>
            <w:pPr>
              <w:rPr>
                <w:rFonts w:ascii="宋体" w:hAnsi="宋体" w:cs="宋体"/>
                <w:color w:val="0000FF"/>
                <w:sz w:val="18"/>
                <w:szCs w:val="18"/>
                <w:highlight w:val="none"/>
              </w:rPr>
            </w:pPr>
            <w:r>
              <w:rPr>
                <w:rFonts w:hint="eastAsia" w:ascii="宋体" w:hAnsi="宋体" w:cs="宋体"/>
                <w:color w:val="0000FF"/>
                <w:sz w:val="18"/>
                <w:szCs w:val="18"/>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widowControl/>
              <w:jc w:val="center"/>
              <w:textAlignment w:val="top"/>
              <w:rPr>
                <w:rFonts w:ascii="宋体" w:hAnsi="宋体" w:cs="宋体"/>
                <w:color w:val="0000FF"/>
                <w:sz w:val="18"/>
                <w:szCs w:val="18"/>
              </w:rPr>
            </w:pPr>
            <w:r>
              <w:rPr>
                <w:rFonts w:ascii="宋体" w:hAnsi="宋体" w:cs="宋体"/>
                <w:color w:val="0000FF"/>
                <w:kern w:val="0"/>
                <w:sz w:val="18"/>
                <w:szCs w:val="18"/>
                <w:lang w:bidi="ar"/>
              </w:rPr>
              <w:t>6</w:t>
            </w:r>
          </w:p>
        </w:tc>
        <w:tc>
          <w:tcPr>
            <w:tcW w:w="1162" w:type="dxa"/>
            <w:shd w:val="clear" w:color="auto" w:fill="auto"/>
          </w:tcPr>
          <w:p>
            <w:pPr>
              <w:widowControl/>
              <w:jc w:val="left"/>
              <w:textAlignment w:val="top"/>
              <w:rPr>
                <w:rStyle w:val="16"/>
                <w:rFonts w:hint="default"/>
                <w:color w:val="0000FF"/>
                <w:lang w:bidi="ar"/>
              </w:rPr>
            </w:pPr>
            <w:r>
              <w:rPr>
                <w:rStyle w:val="16"/>
                <w:rFonts w:hint="default"/>
                <w:color w:val="0000FF"/>
                <w:lang w:bidi="ar"/>
              </w:rPr>
              <w:t>控制器</w:t>
            </w:r>
          </w:p>
        </w:tc>
        <w:tc>
          <w:tcPr>
            <w:tcW w:w="4169"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(1)空调线控器</w:t>
            </w:r>
          </w:p>
        </w:tc>
        <w:tc>
          <w:tcPr>
            <w:tcW w:w="1578"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sz w:val="18"/>
                <w:szCs w:val="18"/>
              </w:rPr>
              <w:t>套</w:t>
            </w:r>
          </w:p>
        </w:tc>
        <w:tc>
          <w:tcPr>
            <w:tcW w:w="904" w:type="dxa"/>
            <w:shd w:val="clear" w:color="auto" w:fill="auto"/>
          </w:tcPr>
          <w:p>
            <w:pPr>
              <w:rPr>
                <w:rFonts w:ascii="宋体" w:hAnsi="宋体" w:cs="宋体"/>
                <w:color w:val="0000FF"/>
                <w:sz w:val="18"/>
                <w:szCs w:val="18"/>
              </w:rPr>
            </w:pPr>
            <w:r>
              <w:rPr>
                <w:rFonts w:hint="eastAsia" w:ascii="宋体" w:hAnsi="宋体" w:cs="宋体"/>
                <w:color w:val="0000FF"/>
                <w:sz w:val="18"/>
                <w:szCs w:val="18"/>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ascii="宋体" w:hAnsi="宋体" w:cs="宋体"/>
                <w:color w:val="0000FF"/>
                <w:kern w:val="0"/>
                <w:sz w:val="18"/>
                <w:szCs w:val="18"/>
                <w:lang w:bidi="ar"/>
              </w:rPr>
              <w:t>7</w:t>
            </w:r>
          </w:p>
        </w:tc>
        <w:tc>
          <w:tcPr>
            <w:tcW w:w="1162" w:type="dxa"/>
            <w:vMerge w:val="restart"/>
            <w:shd w:val="clear" w:color="auto" w:fill="auto"/>
          </w:tcPr>
          <w:p>
            <w:pPr>
              <w:widowControl/>
              <w:jc w:val="left"/>
              <w:textAlignment w:val="top"/>
              <w:rPr>
                <w:rStyle w:val="16"/>
                <w:rFonts w:hint="default"/>
                <w:color w:val="0000FF"/>
                <w:lang w:bidi="ar"/>
              </w:rPr>
            </w:pPr>
            <w:r>
              <w:rPr>
                <w:rStyle w:val="16"/>
                <w:rFonts w:hint="default"/>
                <w:color w:val="0000FF"/>
                <w:lang w:bidi="ar"/>
              </w:rPr>
              <w:t>铜管</w:t>
            </w:r>
          </w:p>
        </w:tc>
        <w:tc>
          <w:tcPr>
            <w:tcW w:w="4169"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(1)规格、压力等级:φ9.52</w:t>
            </w:r>
          </w:p>
        </w:tc>
        <w:tc>
          <w:tcPr>
            <w:tcW w:w="1578"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sz w:val="18"/>
                <w:szCs w:val="18"/>
              </w:rPr>
              <w:t>m</w:t>
            </w:r>
          </w:p>
        </w:tc>
        <w:tc>
          <w:tcPr>
            <w:tcW w:w="904" w:type="dxa"/>
            <w:vMerge w:val="restart"/>
            <w:shd w:val="clear" w:color="auto" w:fill="auto"/>
          </w:tcPr>
          <w:p>
            <w:pPr>
              <w:rPr>
                <w:rFonts w:ascii="宋体" w:hAnsi="宋体" w:cs="宋体"/>
                <w:color w:val="0000FF"/>
                <w:sz w:val="18"/>
                <w:szCs w:val="18"/>
              </w:rPr>
            </w:pPr>
            <w:r>
              <w:rPr>
                <w:rFonts w:hint="eastAsia" w:ascii="宋体" w:hAnsi="宋体" w:cs="宋体"/>
                <w:color w:val="0000FF"/>
                <w:sz w:val="18"/>
                <w:szCs w:val="18"/>
              </w:rPr>
              <w:t>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pPr>
          </w:p>
        </w:tc>
        <w:tc>
          <w:tcPr>
            <w:tcW w:w="1162" w:type="dxa"/>
            <w:vMerge w:val="continue"/>
            <w:shd w:val="clear" w:color="auto" w:fill="auto"/>
          </w:tcPr>
          <w:p>
            <w:pPr>
              <w:widowControl/>
              <w:jc w:val="left"/>
              <w:textAlignment w:val="top"/>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(2)连接形式:氧乙炔焊</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(3)安装部位:室内</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(4)介质:冷媒</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(5)压力试验及吹、洗设计要求:按规范要求</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(6)铜管含保温</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ascii="宋体" w:hAnsi="宋体" w:cs="宋体"/>
                <w:color w:val="0000FF"/>
                <w:kern w:val="0"/>
                <w:sz w:val="18"/>
                <w:szCs w:val="18"/>
                <w:lang w:bidi="ar"/>
              </w:rPr>
              <w:t>8</w:t>
            </w:r>
          </w:p>
        </w:tc>
        <w:tc>
          <w:tcPr>
            <w:tcW w:w="1162" w:type="dxa"/>
            <w:vMerge w:val="restart"/>
            <w:shd w:val="clear" w:color="auto" w:fill="auto"/>
          </w:tcPr>
          <w:p>
            <w:pPr>
              <w:widowControl/>
              <w:jc w:val="left"/>
              <w:textAlignment w:val="top"/>
              <w:rPr>
                <w:rStyle w:val="16"/>
                <w:rFonts w:hint="default"/>
                <w:color w:val="0000FF"/>
                <w:lang w:bidi="ar"/>
              </w:rPr>
            </w:pPr>
            <w:r>
              <w:rPr>
                <w:rStyle w:val="16"/>
                <w:rFonts w:hint="default"/>
                <w:color w:val="0000FF"/>
                <w:lang w:bidi="ar"/>
              </w:rPr>
              <w:t>铜管</w:t>
            </w:r>
          </w:p>
        </w:tc>
        <w:tc>
          <w:tcPr>
            <w:tcW w:w="4169"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(1)规格、压力等级:φ12.7</w:t>
            </w:r>
          </w:p>
        </w:tc>
        <w:tc>
          <w:tcPr>
            <w:tcW w:w="1578"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sz w:val="18"/>
                <w:szCs w:val="18"/>
              </w:rPr>
              <w:t>m</w:t>
            </w:r>
          </w:p>
        </w:tc>
        <w:tc>
          <w:tcPr>
            <w:tcW w:w="904" w:type="dxa"/>
            <w:vMerge w:val="restart"/>
            <w:shd w:val="clear" w:color="auto" w:fill="auto"/>
          </w:tcPr>
          <w:p>
            <w:pPr>
              <w:rPr>
                <w:rFonts w:ascii="宋体" w:hAnsi="宋体" w:cs="宋体"/>
                <w:color w:val="0000FF"/>
                <w:sz w:val="18"/>
                <w:szCs w:val="18"/>
              </w:rPr>
            </w:pPr>
            <w:r>
              <w:rPr>
                <w:rFonts w:hint="eastAsia" w:ascii="宋体" w:hAnsi="宋体" w:cs="宋体"/>
                <w:color w:val="0000FF"/>
                <w:sz w:val="18"/>
                <w:szCs w:val="18"/>
              </w:rPr>
              <w:t>340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pPr>
          </w:p>
        </w:tc>
        <w:tc>
          <w:tcPr>
            <w:tcW w:w="1162" w:type="dxa"/>
            <w:vMerge w:val="continue"/>
            <w:shd w:val="clear" w:color="auto" w:fill="auto"/>
          </w:tcPr>
          <w:p>
            <w:pPr>
              <w:widowControl/>
              <w:jc w:val="left"/>
              <w:textAlignment w:val="top"/>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(2)连接形式:氧乙炔焊</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(3)安装部位:室内</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(4)介质:冷媒</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(5)压力试验及吹、洗设计要求:按规范要求</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(6)铜管含保温</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ascii="宋体" w:hAnsi="宋体" w:cs="宋体"/>
                <w:color w:val="0000FF"/>
                <w:kern w:val="0"/>
                <w:sz w:val="18"/>
                <w:szCs w:val="18"/>
                <w:lang w:bidi="ar"/>
              </w:rPr>
              <w:t>9</w:t>
            </w:r>
          </w:p>
        </w:tc>
        <w:tc>
          <w:tcPr>
            <w:tcW w:w="1162" w:type="dxa"/>
            <w:vMerge w:val="restart"/>
            <w:shd w:val="clear" w:color="auto" w:fill="auto"/>
          </w:tcPr>
          <w:p>
            <w:pPr>
              <w:widowControl/>
              <w:jc w:val="left"/>
              <w:textAlignment w:val="top"/>
              <w:rPr>
                <w:rStyle w:val="16"/>
                <w:rFonts w:hint="default"/>
                <w:color w:val="0000FF"/>
                <w:lang w:bidi="ar"/>
              </w:rPr>
            </w:pPr>
            <w:r>
              <w:rPr>
                <w:rStyle w:val="16"/>
                <w:rFonts w:hint="default"/>
                <w:color w:val="0000FF"/>
                <w:lang w:bidi="ar"/>
              </w:rPr>
              <w:t>铜管</w:t>
            </w:r>
          </w:p>
        </w:tc>
        <w:tc>
          <w:tcPr>
            <w:tcW w:w="4169"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(1)规格、压力等级:φ15.88</w:t>
            </w:r>
          </w:p>
        </w:tc>
        <w:tc>
          <w:tcPr>
            <w:tcW w:w="1578"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sz w:val="18"/>
                <w:szCs w:val="18"/>
              </w:rPr>
              <w:t>m</w:t>
            </w:r>
          </w:p>
        </w:tc>
        <w:tc>
          <w:tcPr>
            <w:tcW w:w="904" w:type="dxa"/>
            <w:vMerge w:val="restart"/>
            <w:shd w:val="clear" w:color="auto" w:fill="auto"/>
          </w:tcPr>
          <w:p>
            <w:pPr>
              <w:rPr>
                <w:rFonts w:ascii="宋体" w:hAnsi="宋体" w:cs="宋体"/>
                <w:color w:val="0000FF"/>
                <w:sz w:val="18"/>
                <w:szCs w:val="18"/>
              </w:rPr>
            </w:pPr>
            <w:r>
              <w:rPr>
                <w:rFonts w:hint="eastAsia" w:ascii="宋体" w:hAnsi="宋体" w:cs="宋体"/>
                <w:color w:val="0000FF"/>
                <w:sz w:val="18"/>
                <w:szCs w:val="18"/>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pPr>
          </w:p>
        </w:tc>
        <w:tc>
          <w:tcPr>
            <w:tcW w:w="1162" w:type="dxa"/>
            <w:vMerge w:val="continue"/>
            <w:shd w:val="clear" w:color="auto" w:fill="auto"/>
          </w:tcPr>
          <w:p>
            <w:pPr>
              <w:widowControl/>
              <w:jc w:val="left"/>
              <w:textAlignment w:val="top"/>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(2)连接形式:氧乙炔焊</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(3)安装部位:室内</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(4)介质:冷媒</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(5)压力试验及吹、洗设计要求:按规范要求</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(6)铜管含保温</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ascii="宋体" w:hAnsi="宋体" w:cs="宋体"/>
                <w:color w:val="0000FF"/>
                <w:kern w:val="0"/>
                <w:sz w:val="18"/>
                <w:szCs w:val="18"/>
                <w:lang w:bidi="ar"/>
              </w:rPr>
              <w:t>10</w:t>
            </w:r>
          </w:p>
        </w:tc>
        <w:tc>
          <w:tcPr>
            <w:tcW w:w="1162" w:type="dxa"/>
            <w:vMerge w:val="restart"/>
            <w:shd w:val="clear" w:color="auto" w:fill="auto"/>
          </w:tcPr>
          <w:p>
            <w:pPr>
              <w:widowControl/>
              <w:jc w:val="left"/>
              <w:textAlignment w:val="top"/>
              <w:rPr>
                <w:rStyle w:val="16"/>
                <w:rFonts w:hint="default"/>
                <w:color w:val="0000FF"/>
                <w:lang w:bidi="ar"/>
              </w:rPr>
            </w:pPr>
            <w:r>
              <w:rPr>
                <w:rStyle w:val="16"/>
                <w:rFonts w:hint="default"/>
                <w:color w:val="0000FF"/>
                <w:lang w:bidi="ar"/>
              </w:rPr>
              <w:t>铜管</w:t>
            </w:r>
          </w:p>
        </w:tc>
        <w:tc>
          <w:tcPr>
            <w:tcW w:w="4169"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(1)规格、压力等级:φ19.05</w:t>
            </w:r>
          </w:p>
        </w:tc>
        <w:tc>
          <w:tcPr>
            <w:tcW w:w="1578"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sz w:val="18"/>
                <w:szCs w:val="18"/>
              </w:rPr>
              <w:t>m</w:t>
            </w:r>
          </w:p>
        </w:tc>
        <w:tc>
          <w:tcPr>
            <w:tcW w:w="904" w:type="dxa"/>
            <w:vMerge w:val="restart"/>
            <w:shd w:val="clear" w:color="auto" w:fill="auto"/>
          </w:tcPr>
          <w:p>
            <w:pPr>
              <w:rPr>
                <w:rFonts w:ascii="宋体" w:hAnsi="宋体" w:cs="宋体"/>
                <w:color w:val="0000FF"/>
                <w:sz w:val="18"/>
                <w:szCs w:val="18"/>
              </w:rPr>
            </w:pPr>
            <w:r>
              <w:rPr>
                <w:rFonts w:hint="eastAsia" w:ascii="宋体" w:hAnsi="宋体" w:cs="宋体"/>
                <w:color w:val="0000FF"/>
                <w:sz w:val="18"/>
                <w:szCs w:val="18"/>
              </w:rPr>
              <w:t>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pPr>
          </w:p>
        </w:tc>
        <w:tc>
          <w:tcPr>
            <w:tcW w:w="1162" w:type="dxa"/>
            <w:vMerge w:val="continue"/>
            <w:shd w:val="clear" w:color="auto" w:fill="auto"/>
          </w:tcPr>
          <w:p>
            <w:pPr>
              <w:widowControl/>
              <w:jc w:val="left"/>
              <w:textAlignment w:val="top"/>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(2)连接形式:氧乙炔焊</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(3)安装部位:室内</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(4)介质:冷媒</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(5)压力试验及吹、洗设计要求:按规范要求</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(6)铜管含保温</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ascii="宋体" w:hAnsi="宋体" w:cs="宋体"/>
                <w:color w:val="0000FF"/>
                <w:kern w:val="0"/>
                <w:sz w:val="18"/>
                <w:szCs w:val="18"/>
                <w:lang w:bidi="ar"/>
              </w:rPr>
              <w:t>11</w:t>
            </w:r>
          </w:p>
        </w:tc>
        <w:tc>
          <w:tcPr>
            <w:tcW w:w="1162" w:type="dxa"/>
            <w:vMerge w:val="restart"/>
            <w:shd w:val="clear" w:color="auto" w:fill="auto"/>
          </w:tcPr>
          <w:p>
            <w:pPr>
              <w:widowControl/>
              <w:jc w:val="left"/>
              <w:textAlignment w:val="top"/>
              <w:rPr>
                <w:rStyle w:val="16"/>
                <w:rFonts w:hint="default"/>
                <w:color w:val="0000FF"/>
                <w:lang w:bidi="ar"/>
              </w:rPr>
            </w:pPr>
            <w:r>
              <w:rPr>
                <w:rStyle w:val="16"/>
                <w:rFonts w:hint="default"/>
                <w:color w:val="0000FF"/>
                <w:lang w:bidi="ar"/>
              </w:rPr>
              <w:t>铜管</w:t>
            </w:r>
          </w:p>
        </w:tc>
        <w:tc>
          <w:tcPr>
            <w:tcW w:w="4169"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(1)规格、压力等级:φ22.2</w:t>
            </w:r>
          </w:p>
        </w:tc>
        <w:tc>
          <w:tcPr>
            <w:tcW w:w="1578"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sz w:val="18"/>
                <w:szCs w:val="18"/>
              </w:rPr>
              <w:t>m</w:t>
            </w:r>
          </w:p>
        </w:tc>
        <w:tc>
          <w:tcPr>
            <w:tcW w:w="904" w:type="dxa"/>
            <w:vMerge w:val="restart"/>
            <w:shd w:val="clear" w:color="auto" w:fill="auto"/>
          </w:tcPr>
          <w:p>
            <w:pPr>
              <w:rPr>
                <w:rFonts w:ascii="宋体" w:hAnsi="宋体" w:cs="宋体"/>
                <w:color w:val="0000FF"/>
                <w:sz w:val="18"/>
                <w:szCs w:val="18"/>
              </w:rPr>
            </w:pPr>
            <w:r>
              <w:rPr>
                <w:rFonts w:hint="eastAsia" w:ascii="宋体" w:hAnsi="宋体" w:cs="宋体"/>
                <w:color w:val="0000FF"/>
                <w:sz w:val="18"/>
                <w:szCs w:val="18"/>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13" w:type="dxa"/>
            <w:vMerge w:val="continue"/>
            <w:shd w:val="clear" w:color="auto" w:fill="auto"/>
          </w:tcPr>
          <w:p>
            <w:pPr>
              <w:widowControl/>
              <w:jc w:val="left"/>
              <w:textAlignment w:val="top"/>
            </w:pPr>
          </w:p>
        </w:tc>
        <w:tc>
          <w:tcPr>
            <w:tcW w:w="1162" w:type="dxa"/>
            <w:vMerge w:val="continue"/>
            <w:shd w:val="clear" w:color="auto" w:fill="auto"/>
          </w:tcPr>
          <w:p>
            <w:pPr>
              <w:widowControl/>
              <w:jc w:val="left"/>
              <w:textAlignment w:val="top"/>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(2)连接形式:氧乙炔焊</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(3)安装部位:室内</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(4)介质:冷媒</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(5)压力试验及吹、洗设计要求:按规范要求</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(6)铜管含保温</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ascii="宋体" w:hAnsi="宋体" w:cs="宋体"/>
                <w:color w:val="0000FF"/>
                <w:kern w:val="0"/>
                <w:sz w:val="18"/>
                <w:szCs w:val="18"/>
                <w:lang w:bidi="ar"/>
              </w:rPr>
              <w:t>12</w:t>
            </w:r>
          </w:p>
        </w:tc>
        <w:tc>
          <w:tcPr>
            <w:tcW w:w="1162" w:type="dxa"/>
            <w:vMerge w:val="restart"/>
            <w:shd w:val="clear" w:color="auto" w:fill="auto"/>
          </w:tcPr>
          <w:p>
            <w:pPr>
              <w:widowControl/>
              <w:jc w:val="left"/>
              <w:textAlignment w:val="top"/>
              <w:rPr>
                <w:rStyle w:val="16"/>
                <w:rFonts w:hint="default"/>
                <w:color w:val="0000FF"/>
                <w:lang w:bidi="ar"/>
              </w:rPr>
            </w:pPr>
            <w:r>
              <w:rPr>
                <w:rStyle w:val="16"/>
                <w:rFonts w:hint="default"/>
                <w:color w:val="0000FF"/>
                <w:lang w:bidi="ar"/>
              </w:rPr>
              <w:t>铜管</w:t>
            </w:r>
          </w:p>
        </w:tc>
        <w:tc>
          <w:tcPr>
            <w:tcW w:w="4169"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(1)规格、压力等级:φ28.58</w:t>
            </w:r>
          </w:p>
        </w:tc>
        <w:tc>
          <w:tcPr>
            <w:tcW w:w="1578"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sz w:val="18"/>
                <w:szCs w:val="18"/>
              </w:rPr>
              <w:t>m</w:t>
            </w:r>
          </w:p>
        </w:tc>
        <w:tc>
          <w:tcPr>
            <w:tcW w:w="904" w:type="dxa"/>
            <w:vMerge w:val="restart"/>
            <w:shd w:val="clear" w:color="auto" w:fill="auto"/>
          </w:tcPr>
          <w:p>
            <w:pPr>
              <w:rPr>
                <w:rFonts w:ascii="宋体" w:hAnsi="宋体" w:cs="宋体"/>
                <w:color w:val="0000FF"/>
                <w:sz w:val="18"/>
                <w:szCs w:val="18"/>
              </w:rPr>
            </w:pPr>
            <w:r>
              <w:rPr>
                <w:rFonts w:hint="eastAsia" w:ascii="宋体" w:hAnsi="宋体" w:cs="宋体"/>
                <w:color w:val="0000FF"/>
                <w:sz w:val="18"/>
                <w:szCs w:val="18"/>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pPr>
          </w:p>
        </w:tc>
        <w:tc>
          <w:tcPr>
            <w:tcW w:w="1162" w:type="dxa"/>
            <w:vMerge w:val="continue"/>
            <w:shd w:val="clear" w:color="auto" w:fill="auto"/>
          </w:tcPr>
          <w:p>
            <w:pPr>
              <w:widowControl/>
              <w:jc w:val="left"/>
              <w:textAlignment w:val="top"/>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(2)连接形式:氧乙炔焊</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(3)安装部位:室内</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(4)介质:冷媒</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(5)压力试验及吹、洗设计要求:按规范要求</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(6)铜管含保温</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ascii="宋体" w:hAnsi="宋体" w:cs="宋体"/>
                <w:color w:val="0000FF"/>
                <w:kern w:val="0"/>
                <w:sz w:val="18"/>
                <w:szCs w:val="18"/>
                <w:lang w:bidi="ar"/>
              </w:rPr>
              <w:t>13</w:t>
            </w:r>
          </w:p>
        </w:tc>
        <w:tc>
          <w:tcPr>
            <w:tcW w:w="1162" w:type="dxa"/>
            <w:vMerge w:val="restart"/>
            <w:shd w:val="clear" w:color="auto" w:fill="auto"/>
          </w:tcPr>
          <w:p>
            <w:pPr>
              <w:widowControl/>
              <w:jc w:val="left"/>
              <w:textAlignment w:val="top"/>
              <w:rPr>
                <w:rStyle w:val="16"/>
                <w:rFonts w:hint="default"/>
                <w:color w:val="0000FF"/>
                <w:lang w:bidi="ar"/>
              </w:rPr>
            </w:pPr>
            <w:r>
              <w:rPr>
                <w:rStyle w:val="16"/>
                <w:rFonts w:hint="default"/>
                <w:color w:val="0000FF"/>
                <w:lang w:bidi="ar"/>
              </w:rPr>
              <w:t>铜管</w:t>
            </w:r>
          </w:p>
        </w:tc>
        <w:tc>
          <w:tcPr>
            <w:tcW w:w="4169"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(1)规格、压力等级:φ31.8</w:t>
            </w:r>
          </w:p>
        </w:tc>
        <w:tc>
          <w:tcPr>
            <w:tcW w:w="1578"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sz w:val="18"/>
                <w:szCs w:val="18"/>
              </w:rPr>
              <w:t>m</w:t>
            </w:r>
          </w:p>
        </w:tc>
        <w:tc>
          <w:tcPr>
            <w:tcW w:w="904" w:type="dxa"/>
            <w:vMerge w:val="restart"/>
            <w:shd w:val="clear" w:color="auto" w:fill="auto"/>
          </w:tcPr>
          <w:p>
            <w:pPr>
              <w:rPr>
                <w:rFonts w:ascii="宋体" w:hAnsi="宋体" w:cs="宋体"/>
                <w:color w:val="0000FF"/>
                <w:sz w:val="18"/>
                <w:szCs w:val="18"/>
              </w:rPr>
            </w:pPr>
            <w:r>
              <w:rPr>
                <w:rFonts w:hint="eastAsia" w:ascii="宋体" w:hAnsi="宋体" w:cs="宋体"/>
                <w:color w:val="0000FF"/>
                <w:sz w:val="18"/>
                <w:szCs w:val="18"/>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pPr>
          </w:p>
        </w:tc>
        <w:tc>
          <w:tcPr>
            <w:tcW w:w="1162" w:type="dxa"/>
            <w:vMerge w:val="continue"/>
            <w:shd w:val="clear" w:color="auto" w:fill="auto"/>
          </w:tcPr>
          <w:p>
            <w:pPr>
              <w:widowControl/>
              <w:jc w:val="left"/>
              <w:textAlignment w:val="top"/>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(2)连接形式:氧乙炔焊</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(3)安装部位:室内</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(4)介质:冷媒</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(5)压力试验及吹、洗设计要求:按规范要求</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(6)铜管含保温</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ascii="宋体" w:hAnsi="宋体" w:cs="宋体"/>
                <w:color w:val="0000FF"/>
                <w:kern w:val="0"/>
                <w:sz w:val="18"/>
                <w:szCs w:val="18"/>
                <w:lang w:bidi="ar"/>
              </w:rPr>
              <w:t>14</w:t>
            </w:r>
          </w:p>
        </w:tc>
        <w:tc>
          <w:tcPr>
            <w:tcW w:w="1162" w:type="dxa"/>
            <w:vMerge w:val="restart"/>
            <w:shd w:val="clear" w:color="auto" w:fill="auto"/>
          </w:tcPr>
          <w:p>
            <w:pPr>
              <w:widowControl/>
              <w:jc w:val="left"/>
              <w:textAlignment w:val="top"/>
              <w:rPr>
                <w:rStyle w:val="16"/>
                <w:rFonts w:hint="default"/>
                <w:color w:val="0000FF"/>
                <w:lang w:bidi="ar"/>
              </w:rPr>
            </w:pPr>
            <w:r>
              <w:rPr>
                <w:rStyle w:val="16"/>
                <w:rFonts w:hint="default"/>
                <w:color w:val="0000FF"/>
                <w:lang w:bidi="ar"/>
              </w:rPr>
              <w:t>铜管</w:t>
            </w:r>
          </w:p>
        </w:tc>
        <w:tc>
          <w:tcPr>
            <w:tcW w:w="4169"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(1)规格、压力等级:φ38.1</w:t>
            </w:r>
          </w:p>
        </w:tc>
        <w:tc>
          <w:tcPr>
            <w:tcW w:w="1578"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sz w:val="18"/>
                <w:szCs w:val="18"/>
              </w:rPr>
              <w:t>m</w:t>
            </w:r>
          </w:p>
        </w:tc>
        <w:tc>
          <w:tcPr>
            <w:tcW w:w="904" w:type="dxa"/>
            <w:vMerge w:val="restart"/>
            <w:shd w:val="clear" w:color="auto" w:fill="auto"/>
          </w:tcPr>
          <w:p>
            <w:pPr>
              <w:rPr>
                <w:rFonts w:ascii="宋体" w:hAnsi="宋体" w:cs="宋体"/>
                <w:color w:val="0000FF"/>
                <w:sz w:val="18"/>
                <w:szCs w:val="18"/>
              </w:rPr>
            </w:pPr>
            <w:r>
              <w:rPr>
                <w:rFonts w:hint="eastAsia" w:ascii="宋体" w:hAnsi="宋体" w:cs="宋体"/>
                <w:color w:val="0000FF"/>
                <w:sz w:val="18"/>
                <w:szCs w:val="18"/>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pPr>
          </w:p>
        </w:tc>
        <w:tc>
          <w:tcPr>
            <w:tcW w:w="1162" w:type="dxa"/>
            <w:vMerge w:val="continue"/>
            <w:shd w:val="clear" w:color="auto" w:fill="auto"/>
          </w:tcPr>
          <w:p>
            <w:pPr>
              <w:widowControl/>
              <w:jc w:val="left"/>
              <w:textAlignment w:val="top"/>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(2)连接形式:氧乙炔焊</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(3)安装部位:室内</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(4)介质:冷媒</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(5)压力试验及吹、洗设计要求:按规范要求</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(6)铜管含保温</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ascii="宋体" w:hAnsi="宋体" w:cs="宋体"/>
                <w:color w:val="0000FF"/>
                <w:kern w:val="0"/>
                <w:sz w:val="18"/>
                <w:szCs w:val="18"/>
                <w:lang w:bidi="ar"/>
              </w:rPr>
              <w:t>15</w:t>
            </w:r>
          </w:p>
        </w:tc>
        <w:tc>
          <w:tcPr>
            <w:tcW w:w="1162" w:type="dxa"/>
            <w:vMerge w:val="restart"/>
            <w:shd w:val="clear" w:color="auto" w:fill="auto"/>
          </w:tcPr>
          <w:p>
            <w:pPr>
              <w:widowControl/>
              <w:jc w:val="left"/>
              <w:textAlignment w:val="top"/>
              <w:rPr>
                <w:rStyle w:val="16"/>
                <w:rFonts w:hint="default"/>
                <w:color w:val="0000FF"/>
                <w:lang w:bidi="ar"/>
              </w:rPr>
            </w:pPr>
            <w:r>
              <w:rPr>
                <w:rStyle w:val="16"/>
                <w:rFonts w:hint="default"/>
                <w:color w:val="0000FF"/>
                <w:lang w:bidi="ar"/>
              </w:rPr>
              <w:t>塑料管</w:t>
            </w:r>
          </w:p>
        </w:tc>
        <w:tc>
          <w:tcPr>
            <w:tcW w:w="4169"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(1)名称:空调凝结水塑料管(粘接)</w:t>
            </w:r>
          </w:p>
        </w:tc>
        <w:tc>
          <w:tcPr>
            <w:tcW w:w="1578"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sz w:val="18"/>
                <w:szCs w:val="18"/>
              </w:rPr>
              <w:t>m</w:t>
            </w:r>
          </w:p>
        </w:tc>
        <w:tc>
          <w:tcPr>
            <w:tcW w:w="904" w:type="dxa"/>
            <w:vMerge w:val="restart"/>
            <w:shd w:val="clear" w:color="auto" w:fill="auto"/>
          </w:tcPr>
          <w:p>
            <w:pPr>
              <w:rPr>
                <w:rFonts w:ascii="宋体" w:hAnsi="宋体" w:cs="宋体"/>
                <w:color w:val="0000FF"/>
                <w:sz w:val="18"/>
                <w:szCs w:val="18"/>
              </w:rPr>
            </w:pPr>
            <w:r>
              <w:rPr>
                <w:rFonts w:hint="eastAsia" w:ascii="宋体" w:hAnsi="宋体" w:cs="宋体"/>
                <w:color w:val="0000FF"/>
                <w:sz w:val="18"/>
                <w:szCs w:val="18"/>
              </w:rPr>
              <w:t>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613" w:type="dxa"/>
            <w:vMerge w:val="continue"/>
            <w:shd w:val="clear" w:color="auto" w:fill="auto"/>
          </w:tcPr>
          <w:p>
            <w:pPr>
              <w:widowControl/>
              <w:jc w:val="left"/>
              <w:textAlignment w:val="top"/>
            </w:pPr>
          </w:p>
        </w:tc>
        <w:tc>
          <w:tcPr>
            <w:tcW w:w="1162" w:type="dxa"/>
            <w:vMerge w:val="continue"/>
            <w:shd w:val="clear" w:color="auto" w:fill="auto"/>
          </w:tcPr>
          <w:p>
            <w:pPr>
              <w:widowControl/>
              <w:jc w:val="left"/>
              <w:textAlignment w:val="top"/>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(2)连接形式:粘接</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(3)材质、规格:DN25</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ascii="宋体" w:hAnsi="宋体" w:cs="宋体"/>
                <w:color w:val="0000FF"/>
                <w:kern w:val="0"/>
                <w:sz w:val="18"/>
                <w:szCs w:val="18"/>
                <w:lang w:bidi="ar"/>
              </w:rPr>
              <w:t>16</w:t>
            </w:r>
          </w:p>
        </w:tc>
        <w:tc>
          <w:tcPr>
            <w:tcW w:w="1162" w:type="dxa"/>
            <w:vMerge w:val="restart"/>
            <w:shd w:val="clear" w:color="auto" w:fill="auto"/>
          </w:tcPr>
          <w:p>
            <w:pPr>
              <w:widowControl/>
              <w:jc w:val="left"/>
              <w:textAlignment w:val="top"/>
              <w:rPr>
                <w:rStyle w:val="16"/>
                <w:rFonts w:hint="default"/>
                <w:color w:val="0000FF"/>
                <w:lang w:bidi="ar"/>
              </w:rPr>
            </w:pPr>
            <w:r>
              <w:rPr>
                <w:rStyle w:val="16"/>
                <w:rFonts w:hint="default"/>
                <w:color w:val="0000FF"/>
                <w:lang w:bidi="ar"/>
              </w:rPr>
              <w:t>塑料管</w:t>
            </w:r>
          </w:p>
        </w:tc>
        <w:tc>
          <w:tcPr>
            <w:tcW w:w="4169"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(1)名称:空调凝结水塑料管(粘接)</w:t>
            </w:r>
          </w:p>
        </w:tc>
        <w:tc>
          <w:tcPr>
            <w:tcW w:w="1578"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sz w:val="18"/>
                <w:szCs w:val="18"/>
              </w:rPr>
              <w:t>m</w:t>
            </w:r>
          </w:p>
        </w:tc>
        <w:tc>
          <w:tcPr>
            <w:tcW w:w="904" w:type="dxa"/>
            <w:vMerge w:val="restart"/>
            <w:shd w:val="clear" w:color="auto" w:fill="auto"/>
          </w:tcPr>
          <w:p>
            <w:pPr>
              <w:rPr>
                <w:rFonts w:ascii="宋体" w:hAnsi="宋体" w:cs="宋体"/>
                <w:color w:val="0000FF"/>
                <w:sz w:val="18"/>
                <w:szCs w:val="18"/>
              </w:rPr>
            </w:pPr>
            <w:r>
              <w:rPr>
                <w:rFonts w:hint="eastAsia" w:ascii="宋体" w:hAnsi="宋体" w:cs="宋体"/>
                <w:color w:val="0000FF"/>
                <w:sz w:val="18"/>
                <w:szCs w:val="18"/>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613" w:type="dxa"/>
            <w:vMerge w:val="continue"/>
            <w:shd w:val="clear" w:color="auto" w:fill="auto"/>
          </w:tcPr>
          <w:p>
            <w:pPr>
              <w:widowControl/>
              <w:jc w:val="left"/>
              <w:textAlignment w:val="top"/>
            </w:pPr>
          </w:p>
        </w:tc>
        <w:tc>
          <w:tcPr>
            <w:tcW w:w="1162" w:type="dxa"/>
            <w:vMerge w:val="continue"/>
            <w:shd w:val="clear" w:color="auto" w:fill="auto"/>
          </w:tcPr>
          <w:p>
            <w:pPr>
              <w:widowControl/>
              <w:jc w:val="left"/>
              <w:textAlignment w:val="top"/>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(2)连接形式:粘接</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613" w:type="dxa"/>
            <w:vMerge w:val="continue"/>
            <w:shd w:val="clear" w:color="auto" w:fill="auto"/>
          </w:tcPr>
          <w:p>
            <w:pPr>
              <w:widowControl/>
              <w:jc w:val="left"/>
              <w:textAlignment w:val="top"/>
              <w:rPr>
                <w:rStyle w:val="16"/>
                <w:rFonts w:hint="default"/>
                <w:color w:val="0000FF"/>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(3)材质、规格:DN32</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3" w:type="dxa"/>
            <w:shd w:val="clear" w:color="auto" w:fill="auto"/>
          </w:tcPr>
          <w:p>
            <w:pPr>
              <w:widowControl/>
              <w:jc w:val="center"/>
              <w:textAlignment w:val="top"/>
              <w:rPr>
                <w:rFonts w:ascii="宋体" w:hAnsi="宋体" w:cs="宋体"/>
                <w:color w:val="0000FF"/>
                <w:sz w:val="18"/>
                <w:szCs w:val="18"/>
              </w:rPr>
            </w:pPr>
            <w:r>
              <w:rPr>
                <w:rFonts w:ascii="宋体" w:hAnsi="宋体" w:cs="宋体"/>
                <w:color w:val="0000FF"/>
                <w:kern w:val="0"/>
                <w:sz w:val="18"/>
                <w:szCs w:val="18"/>
                <w:lang w:bidi="ar"/>
              </w:rPr>
              <w:t>17</w:t>
            </w:r>
          </w:p>
        </w:tc>
        <w:tc>
          <w:tcPr>
            <w:tcW w:w="1162" w:type="dxa"/>
            <w:shd w:val="clear" w:color="auto" w:fill="auto"/>
          </w:tcPr>
          <w:p>
            <w:pPr>
              <w:widowControl/>
              <w:jc w:val="left"/>
              <w:textAlignment w:val="top"/>
              <w:rPr>
                <w:rStyle w:val="16"/>
                <w:rFonts w:hint="default"/>
                <w:color w:val="0000FF"/>
                <w:lang w:bidi="ar"/>
              </w:rPr>
            </w:pPr>
            <w:r>
              <w:rPr>
                <w:rStyle w:val="16"/>
                <w:rFonts w:hint="default"/>
                <w:color w:val="0000FF"/>
                <w:lang w:bidi="ar"/>
              </w:rPr>
              <w:t>冷媒剂</w:t>
            </w:r>
          </w:p>
        </w:tc>
        <w:tc>
          <w:tcPr>
            <w:tcW w:w="4169"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(1)制冷剂(R410A)</w:t>
            </w:r>
          </w:p>
        </w:tc>
        <w:tc>
          <w:tcPr>
            <w:tcW w:w="1578"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sz w:val="18"/>
                <w:szCs w:val="18"/>
              </w:rPr>
              <w:t>kg</w:t>
            </w:r>
          </w:p>
        </w:tc>
        <w:tc>
          <w:tcPr>
            <w:tcW w:w="904" w:type="dxa"/>
            <w:shd w:val="clear" w:color="auto" w:fill="auto"/>
          </w:tcPr>
          <w:p>
            <w:pPr>
              <w:rPr>
                <w:rFonts w:ascii="宋体" w:hAnsi="宋体" w:cs="宋体"/>
                <w:color w:val="0000FF"/>
                <w:sz w:val="18"/>
                <w:szCs w:val="18"/>
              </w:rPr>
            </w:pPr>
            <w:r>
              <w:rPr>
                <w:rFonts w:hint="eastAsia" w:ascii="宋体" w:hAnsi="宋体" w:cs="宋体"/>
                <w:color w:val="0000FF"/>
                <w:sz w:val="18"/>
                <w:szCs w:val="18"/>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613" w:type="dxa"/>
            <w:vMerge w:val="restart"/>
            <w:shd w:val="clear" w:color="auto" w:fill="auto"/>
          </w:tcPr>
          <w:p>
            <w:pPr>
              <w:widowControl/>
              <w:jc w:val="center"/>
              <w:textAlignment w:val="top"/>
              <w:rPr>
                <w:rFonts w:ascii="宋体" w:hAnsi="宋体" w:cs="宋体"/>
                <w:color w:val="0000FF"/>
                <w:sz w:val="18"/>
                <w:szCs w:val="18"/>
              </w:rPr>
            </w:pPr>
            <w:r>
              <w:rPr>
                <w:rFonts w:ascii="宋体" w:hAnsi="宋体" w:cs="宋体"/>
                <w:color w:val="0000FF"/>
                <w:kern w:val="0"/>
                <w:sz w:val="18"/>
                <w:szCs w:val="18"/>
                <w:lang w:bidi="ar"/>
              </w:rPr>
              <w:t>18</w:t>
            </w:r>
          </w:p>
        </w:tc>
        <w:tc>
          <w:tcPr>
            <w:tcW w:w="1162" w:type="dxa"/>
            <w:vMerge w:val="restart"/>
            <w:shd w:val="clear" w:color="auto" w:fill="auto"/>
          </w:tcPr>
          <w:p>
            <w:pPr>
              <w:widowControl/>
              <w:jc w:val="left"/>
              <w:textAlignment w:val="top"/>
              <w:rPr>
                <w:rStyle w:val="16"/>
                <w:rFonts w:hint="default"/>
                <w:color w:val="0000FF"/>
                <w:lang w:bidi="ar"/>
              </w:rPr>
            </w:pPr>
            <w:r>
              <w:rPr>
                <w:rStyle w:val="16"/>
                <w:rFonts w:hint="default"/>
                <w:color w:val="0000FF"/>
                <w:lang w:bidi="ar"/>
              </w:rPr>
              <w:t>配线</w:t>
            </w:r>
          </w:p>
        </w:tc>
        <w:tc>
          <w:tcPr>
            <w:tcW w:w="4169" w:type="dxa"/>
            <w:shd w:val="clear" w:color="auto" w:fill="auto"/>
          </w:tcPr>
          <w:p>
            <w:pPr>
              <w:widowControl/>
              <w:jc w:val="left"/>
              <w:textAlignment w:val="top"/>
              <w:rPr>
                <w:rFonts w:ascii="宋体" w:hAnsi="宋体" w:cs="宋体"/>
                <w:color w:val="0000FF"/>
                <w:sz w:val="18"/>
                <w:szCs w:val="18"/>
              </w:rPr>
            </w:pPr>
            <w:r>
              <w:rPr>
                <w:rStyle w:val="16"/>
                <w:rFonts w:hint="default"/>
                <w:color w:val="0000FF"/>
                <w:lang w:bidi="ar"/>
              </w:rPr>
              <w:t>(1)材质:铜芯</w:t>
            </w:r>
          </w:p>
        </w:tc>
        <w:tc>
          <w:tcPr>
            <w:tcW w:w="1578" w:type="dxa"/>
            <w:vMerge w:val="restart"/>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sz w:val="18"/>
                <w:szCs w:val="18"/>
              </w:rPr>
              <w:t>m</w:t>
            </w:r>
          </w:p>
        </w:tc>
        <w:tc>
          <w:tcPr>
            <w:tcW w:w="904" w:type="dxa"/>
            <w:vMerge w:val="restart"/>
            <w:shd w:val="clear" w:color="auto" w:fill="auto"/>
          </w:tcPr>
          <w:p>
            <w:pPr>
              <w:rPr>
                <w:rFonts w:ascii="宋体" w:hAnsi="宋体" w:cs="宋体"/>
                <w:color w:val="0000FF"/>
                <w:sz w:val="18"/>
                <w:szCs w:val="18"/>
              </w:rPr>
            </w:pPr>
            <w:r>
              <w:rPr>
                <w:rFonts w:hint="eastAsia" w:ascii="宋体" w:hAnsi="宋体" w:cs="宋体"/>
                <w:color w:val="0000FF"/>
                <w:sz w:val="18"/>
                <w:szCs w:val="18"/>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613" w:type="dxa"/>
            <w:vMerge w:val="continue"/>
            <w:shd w:val="clear" w:color="auto" w:fill="auto"/>
          </w:tcPr>
          <w:p>
            <w:pPr>
              <w:widowControl/>
              <w:jc w:val="left"/>
              <w:textAlignment w:val="top"/>
            </w:pPr>
          </w:p>
        </w:tc>
        <w:tc>
          <w:tcPr>
            <w:tcW w:w="1162" w:type="dxa"/>
            <w:vMerge w:val="continue"/>
            <w:shd w:val="clear" w:color="auto" w:fill="auto"/>
          </w:tcPr>
          <w:p>
            <w:pPr>
              <w:widowControl/>
              <w:jc w:val="left"/>
              <w:textAlignment w:val="top"/>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(2)规格:RVV-2*0.5</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highlight w:val="red"/>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613" w:type="dxa"/>
            <w:vMerge w:val="continue"/>
            <w:shd w:val="clear" w:color="auto" w:fill="auto"/>
          </w:tcPr>
          <w:p>
            <w:pPr>
              <w:widowControl/>
              <w:jc w:val="left"/>
              <w:textAlignment w:val="top"/>
              <w:rPr>
                <w:rStyle w:val="16"/>
                <w:rFonts w:hint="default"/>
                <w:color w:val="0000FF"/>
                <w:highlight w:val="red"/>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(3)名称:电气配线</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highlight w:val="red"/>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613" w:type="dxa"/>
            <w:vMerge w:val="continue"/>
            <w:shd w:val="clear" w:color="auto" w:fill="auto"/>
          </w:tcPr>
          <w:p>
            <w:pPr>
              <w:widowControl/>
              <w:jc w:val="left"/>
              <w:textAlignment w:val="top"/>
              <w:rPr>
                <w:rStyle w:val="16"/>
                <w:rFonts w:hint="default"/>
                <w:color w:val="0000FF"/>
                <w:highlight w:val="red"/>
                <w:lang w:bidi="ar"/>
              </w:rPr>
            </w:pPr>
          </w:p>
        </w:tc>
        <w:tc>
          <w:tcPr>
            <w:tcW w:w="1162" w:type="dxa"/>
            <w:vMerge w:val="continue"/>
            <w:shd w:val="clear" w:color="auto" w:fill="auto"/>
          </w:tcPr>
          <w:p>
            <w:pPr>
              <w:widowControl/>
              <w:jc w:val="left"/>
              <w:textAlignment w:val="top"/>
              <w:rPr>
                <w:rStyle w:val="16"/>
                <w:rFonts w:hint="default"/>
                <w:color w:val="0000FF"/>
                <w:lang w:bidi="ar"/>
              </w:rPr>
            </w:pPr>
          </w:p>
        </w:tc>
        <w:tc>
          <w:tcPr>
            <w:tcW w:w="4169" w:type="dxa"/>
            <w:shd w:val="clear" w:color="auto" w:fill="auto"/>
          </w:tcPr>
          <w:p>
            <w:pPr>
              <w:widowControl/>
              <w:jc w:val="left"/>
              <w:textAlignment w:val="top"/>
              <w:rPr>
                <w:rStyle w:val="16"/>
                <w:rFonts w:hint="default"/>
                <w:color w:val="0000FF"/>
                <w:lang w:bidi="ar"/>
              </w:rPr>
            </w:pPr>
            <w:r>
              <w:rPr>
                <w:rStyle w:val="16"/>
                <w:rFonts w:hint="default"/>
                <w:color w:val="0000FF"/>
                <w:lang w:bidi="ar"/>
              </w:rPr>
              <w:t>(4)配线形式:管内穿线</w:t>
            </w:r>
          </w:p>
        </w:tc>
        <w:tc>
          <w:tcPr>
            <w:tcW w:w="1578" w:type="dxa"/>
            <w:vMerge w:val="continue"/>
            <w:shd w:val="clear" w:color="auto" w:fill="auto"/>
          </w:tcPr>
          <w:p>
            <w:pPr>
              <w:widowControl/>
              <w:jc w:val="left"/>
              <w:textAlignment w:val="top"/>
              <w:rPr>
                <w:rStyle w:val="16"/>
                <w:rFonts w:hint="default"/>
                <w:color w:val="0000FF"/>
                <w:lang w:bidi="ar"/>
              </w:rPr>
            </w:pPr>
          </w:p>
        </w:tc>
        <w:tc>
          <w:tcPr>
            <w:tcW w:w="904" w:type="dxa"/>
            <w:vMerge w:val="continue"/>
            <w:shd w:val="clear" w:color="auto" w:fill="auto"/>
          </w:tcPr>
          <w:p>
            <w:pPr>
              <w:widowControl/>
              <w:jc w:val="left"/>
              <w:textAlignment w:val="top"/>
              <w:rPr>
                <w:rStyle w:val="16"/>
                <w:rFonts w:hint="default"/>
                <w:color w:val="0000FF"/>
                <w:highlight w:val="red"/>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613" w:type="dxa"/>
            <w:shd w:val="clear" w:color="auto" w:fill="auto"/>
          </w:tcPr>
          <w:p>
            <w:pPr>
              <w:widowControl/>
              <w:jc w:val="center"/>
              <w:textAlignment w:val="top"/>
              <w:rPr>
                <w:rFonts w:ascii="宋体" w:hAnsi="宋体" w:cs="宋体"/>
                <w:color w:val="0000FF"/>
                <w:sz w:val="18"/>
                <w:szCs w:val="18"/>
              </w:rPr>
            </w:pPr>
            <w:r>
              <w:rPr>
                <w:rFonts w:ascii="宋体" w:hAnsi="宋体" w:cs="宋体"/>
                <w:color w:val="0000FF"/>
                <w:kern w:val="0"/>
                <w:sz w:val="18"/>
                <w:szCs w:val="18"/>
                <w:lang w:bidi="ar"/>
              </w:rPr>
              <w:t>19</w:t>
            </w:r>
          </w:p>
        </w:tc>
        <w:tc>
          <w:tcPr>
            <w:tcW w:w="1162" w:type="dxa"/>
            <w:shd w:val="clear" w:color="auto" w:fill="auto"/>
          </w:tcPr>
          <w:p>
            <w:pPr>
              <w:widowControl/>
              <w:jc w:val="left"/>
              <w:textAlignment w:val="top"/>
              <w:rPr>
                <w:rStyle w:val="16"/>
                <w:rFonts w:hint="default"/>
                <w:color w:val="0000FF"/>
                <w:lang w:bidi="ar"/>
              </w:rPr>
            </w:pPr>
            <w:r>
              <w:rPr>
                <w:rStyle w:val="16"/>
                <w:rFonts w:hint="default"/>
                <w:color w:val="0000FF"/>
                <w:lang w:bidi="ar"/>
              </w:rPr>
              <w:t>给、排水附(配)件</w:t>
            </w:r>
          </w:p>
        </w:tc>
        <w:tc>
          <w:tcPr>
            <w:tcW w:w="4169" w:type="dxa"/>
            <w:shd w:val="clear" w:color="auto" w:fill="auto"/>
          </w:tcPr>
          <w:p>
            <w:pPr>
              <w:widowControl/>
              <w:jc w:val="left"/>
              <w:textAlignment w:val="top"/>
              <w:rPr>
                <w:rFonts w:ascii="宋体" w:hAnsi="宋体" w:cs="宋体"/>
                <w:color w:val="0000FF"/>
                <w:sz w:val="18"/>
                <w:szCs w:val="18"/>
              </w:rPr>
            </w:pPr>
          </w:p>
        </w:tc>
        <w:tc>
          <w:tcPr>
            <w:tcW w:w="1578"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sz w:val="18"/>
                <w:szCs w:val="18"/>
              </w:rPr>
              <w:t>个</w:t>
            </w:r>
          </w:p>
        </w:tc>
        <w:tc>
          <w:tcPr>
            <w:tcW w:w="904" w:type="dxa"/>
            <w:shd w:val="clear" w:color="auto" w:fill="auto"/>
          </w:tcPr>
          <w:p>
            <w:pPr>
              <w:rPr>
                <w:rFonts w:ascii="宋体" w:hAnsi="宋体" w:cs="宋体"/>
                <w:color w:val="0000FF"/>
                <w:sz w:val="18"/>
                <w:szCs w:val="18"/>
              </w:rPr>
            </w:pPr>
            <w:r>
              <w:rPr>
                <w:rFonts w:hint="eastAsia" w:ascii="宋体" w:hAnsi="宋体" w:cs="宋体"/>
                <w:color w:val="0000FF"/>
                <w:sz w:val="18"/>
                <w:szCs w:val="18"/>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613" w:type="dxa"/>
            <w:shd w:val="clear" w:color="auto" w:fill="auto"/>
          </w:tcPr>
          <w:p>
            <w:pPr>
              <w:widowControl/>
              <w:jc w:val="center"/>
              <w:textAlignment w:val="top"/>
              <w:rPr>
                <w:rFonts w:ascii="宋体" w:hAnsi="宋体" w:cs="宋体"/>
                <w:color w:val="0000FF"/>
                <w:kern w:val="0"/>
                <w:sz w:val="18"/>
                <w:szCs w:val="18"/>
                <w:lang w:bidi="ar"/>
              </w:rPr>
            </w:pPr>
            <w:r>
              <w:rPr>
                <w:rFonts w:ascii="宋体" w:hAnsi="宋体" w:cs="宋体"/>
                <w:color w:val="0000FF"/>
                <w:kern w:val="0"/>
                <w:sz w:val="18"/>
                <w:szCs w:val="18"/>
                <w:lang w:bidi="ar"/>
              </w:rPr>
              <w:t>20</w:t>
            </w:r>
          </w:p>
        </w:tc>
        <w:tc>
          <w:tcPr>
            <w:tcW w:w="1162" w:type="dxa"/>
            <w:shd w:val="clear" w:color="auto" w:fill="auto"/>
          </w:tcPr>
          <w:p>
            <w:pPr>
              <w:widowControl/>
              <w:jc w:val="left"/>
              <w:textAlignment w:val="top"/>
              <w:rPr>
                <w:rStyle w:val="16"/>
                <w:rFonts w:hint="default"/>
                <w:color w:val="0000FF"/>
                <w:lang w:bidi="ar"/>
              </w:rPr>
            </w:pPr>
            <w:r>
              <w:rPr>
                <w:rStyle w:val="16"/>
                <w:rFonts w:hint="default"/>
                <w:color w:val="0000FF"/>
                <w:lang w:bidi="ar"/>
              </w:rPr>
              <w:t>通风工程检测、调试</w:t>
            </w:r>
          </w:p>
        </w:tc>
        <w:tc>
          <w:tcPr>
            <w:tcW w:w="4169" w:type="dxa"/>
            <w:shd w:val="clear" w:color="auto" w:fill="auto"/>
          </w:tcPr>
          <w:p>
            <w:pPr>
              <w:widowControl/>
              <w:jc w:val="left"/>
              <w:textAlignment w:val="top"/>
              <w:rPr>
                <w:rStyle w:val="16"/>
                <w:rFonts w:hint="default"/>
                <w:color w:val="0000FF"/>
                <w:lang w:bidi="ar"/>
              </w:rPr>
            </w:pPr>
          </w:p>
        </w:tc>
        <w:tc>
          <w:tcPr>
            <w:tcW w:w="1578"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sz w:val="18"/>
                <w:szCs w:val="18"/>
              </w:rPr>
              <w:t>系统</w:t>
            </w:r>
          </w:p>
        </w:tc>
        <w:tc>
          <w:tcPr>
            <w:tcW w:w="904" w:type="dxa"/>
            <w:shd w:val="clear" w:color="auto" w:fill="auto"/>
          </w:tcPr>
          <w:p>
            <w:pPr>
              <w:rPr>
                <w:rFonts w:ascii="宋体" w:hAnsi="宋体" w:cs="宋体"/>
                <w:color w:val="0000FF"/>
                <w:sz w:val="18"/>
                <w:szCs w:val="18"/>
              </w:rPr>
            </w:pPr>
            <w:r>
              <w:rPr>
                <w:rFonts w:hint="eastAsia" w:ascii="宋体" w:hAnsi="宋体" w:cs="宋体"/>
                <w:color w:val="0000FF"/>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613" w:type="dxa"/>
            <w:shd w:val="clear" w:color="auto" w:fill="auto"/>
          </w:tcPr>
          <w:p>
            <w:pPr>
              <w:widowControl/>
              <w:jc w:val="center"/>
              <w:textAlignment w:val="top"/>
              <w:rPr>
                <w:rFonts w:ascii="宋体" w:hAnsi="宋体" w:cs="宋体"/>
                <w:color w:val="0000FF"/>
                <w:kern w:val="0"/>
                <w:sz w:val="18"/>
                <w:szCs w:val="18"/>
                <w:lang w:bidi="ar"/>
              </w:rPr>
            </w:pPr>
            <w:r>
              <w:rPr>
                <w:rFonts w:ascii="宋体" w:hAnsi="宋体" w:cs="宋体"/>
                <w:color w:val="0000FF"/>
                <w:kern w:val="0"/>
                <w:sz w:val="18"/>
                <w:szCs w:val="18"/>
                <w:lang w:bidi="ar"/>
              </w:rPr>
              <w:t>21</w:t>
            </w:r>
          </w:p>
        </w:tc>
        <w:tc>
          <w:tcPr>
            <w:tcW w:w="1162" w:type="dxa"/>
            <w:shd w:val="clear" w:color="auto" w:fill="auto"/>
          </w:tcPr>
          <w:p>
            <w:pPr>
              <w:widowControl/>
              <w:jc w:val="left"/>
              <w:textAlignment w:val="top"/>
              <w:rPr>
                <w:rStyle w:val="16"/>
                <w:rFonts w:hint="default"/>
                <w:color w:val="0000FF"/>
                <w:lang w:bidi="ar"/>
              </w:rPr>
            </w:pPr>
            <w:r>
              <w:rPr>
                <w:rStyle w:val="16"/>
                <w:rFonts w:hint="default"/>
                <w:color w:val="0000FF"/>
                <w:lang w:bidi="ar"/>
              </w:rPr>
              <w:t>空调水工程系统调试</w:t>
            </w:r>
          </w:p>
        </w:tc>
        <w:tc>
          <w:tcPr>
            <w:tcW w:w="4169" w:type="dxa"/>
            <w:shd w:val="clear" w:color="auto" w:fill="auto"/>
          </w:tcPr>
          <w:p>
            <w:pPr>
              <w:widowControl/>
              <w:jc w:val="left"/>
              <w:textAlignment w:val="top"/>
              <w:rPr>
                <w:rStyle w:val="16"/>
                <w:rFonts w:hint="default"/>
                <w:color w:val="0000FF"/>
                <w:lang w:bidi="ar"/>
              </w:rPr>
            </w:pPr>
          </w:p>
        </w:tc>
        <w:tc>
          <w:tcPr>
            <w:tcW w:w="1578" w:type="dxa"/>
            <w:shd w:val="clear" w:color="auto" w:fill="auto"/>
          </w:tcPr>
          <w:p>
            <w:pPr>
              <w:widowControl/>
              <w:jc w:val="center"/>
              <w:textAlignment w:val="top"/>
              <w:rPr>
                <w:rFonts w:ascii="宋体" w:hAnsi="宋体" w:cs="宋体"/>
                <w:color w:val="0000FF"/>
                <w:sz w:val="18"/>
                <w:szCs w:val="18"/>
              </w:rPr>
            </w:pPr>
            <w:r>
              <w:rPr>
                <w:rFonts w:hint="eastAsia" w:ascii="宋体" w:hAnsi="宋体" w:cs="宋体"/>
                <w:color w:val="0000FF"/>
                <w:sz w:val="18"/>
                <w:szCs w:val="18"/>
              </w:rPr>
              <w:t>系统</w:t>
            </w:r>
          </w:p>
        </w:tc>
        <w:tc>
          <w:tcPr>
            <w:tcW w:w="904" w:type="dxa"/>
            <w:shd w:val="clear" w:color="auto" w:fill="auto"/>
          </w:tcPr>
          <w:p>
            <w:pPr>
              <w:rPr>
                <w:rFonts w:ascii="宋体" w:hAnsi="宋体" w:cs="宋体"/>
                <w:color w:val="0000FF"/>
                <w:sz w:val="18"/>
                <w:szCs w:val="18"/>
              </w:rPr>
            </w:pPr>
            <w:r>
              <w:rPr>
                <w:rFonts w:hint="eastAsia" w:ascii="宋体" w:hAnsi="宋体" w:cs="宋体"/>
                <w:color w:val="0000FF"/>
                <w:sz w:val="18"/>
                <w:szCs w:val="18"/>
              </w:rPr>
              <w:t>1</w:t>
            </w:r>
          </w:p>
        </w:tc>
      </w:tr>
    </w:tbl>
    <w:p>
      <w:pPr>
        <w:rPr>
          <w:highlight w:val="yellow"/>
        </w:rPr>
      </w:pPr>
    </w:p>
    <w:p>
      <w:pPr>
        <w:pStyle w:val="12"/>
        <w:ind w:firstLine="480"/>
        <w:jc w:val="both"/>
        <w:outlineLvl w:val="2"/>
        <w:rPr>
          <w:color w:val="0000FF"/>
        </w:rPr>
      </w:pPr>
      <w:r>
        <w:rPr>
          <w:b/>
          <w:color w:val="0000FF"/>
          <w:sz w:val="28"/>
        </w:rPr>
        <w:t>三、商务要求（以“★”标示的内容为不允许负偏离的实质性要求）</w:t>
      </w:r>
    </w:p>
    <w:p>
      <w:pPr>
        <w:pStyle w:val="12"/>
        <w:jc w:val="both"/>
        <w:rPr>
          <w:color w:val="0000FF"/>
        </w:rPr>
      </w:pPr>
      <w:r>
        <w:rPr>
          <w:b/>
          <w:color w:val="0000FF"/>
        </w:rPr>
        <w:t>采购包1：</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13"/>
        <w:gridCol w:w="900"/>
        <w:gridCol w:w="2154"/>
        <w:gridCol w:w="463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613" w:type="dxa"/>
          </w:tcPr>
          <w:p>
            <w:pPr>
              <w:pStyle w:val="12"/>
              <w:jc w:val="both"/>
              <w:rPr>
                <w:color w:val="0000FF"/>
              </w:rPr>
            </w:pPr>
            <w:r>
              <w:rPr>
                <w:b/>
                <w:color w:val="0000FF"/>
              </w:rPr>
              <w:t>序号</w:t>
            </w:r>
          </w:p>
        </w:tc>
        <w:tc>
          <w:tcPr>
            <w:tcW w:w="900" w:type="dxa"/>
          </w:tcPr>
          <w:p>
            <w:pPr>
              <w:pStyle w:val="12"/>
              <w:jc w:val="both"/>
              <w:rPr>
                <w:color w:val="0000FF"/>
              </w:rPr>
            </w:pPr>
            <w:r>
              <w:rPr>
                <w:b/>
                <w:color w:val="0000FF"/>
              </w:rPr>
              <w:t>参数性质</w:t>
            </w:r>
          </w:p>
        </w:tc>
        <w:tc>
          <w:tcPr>
            <w:tcW w:w="2154" w:type="dxa"/>
          </w:tcPr>
          <w:p>
            <w:pPr>
              <w:pStyle w:val="12"/>
              <w:jc w:val="both"/>
              <w:rPr>
                <w:color w:val="0000FF"/>
              </w:rPr>
            </w:pPr>
            <w:r>
              <w:rPr>
                <w:b/>
                <w:color w:val="0000FF"/>
              </w:rPr>
              <w:t>类型</w:t>
            </w:r>
          </w:p>
        </w:tc>
        <w:tc>
          <w:tcPr>
            <w:tcW w:w="4637" w:type="dxa"/>
          </w:tcPr>
          <w:p>
            <w:pPr>
              <w:pStyle w:val="12"/>
              <w:jc w:val="both"/>
              <w:rPr>
                <w:color w:val="0000FF"/>
              </w:rPr>
            </w:pPr>
            <w:r>
              <w:rPr>
                <w:b/>
                <w:color w:val="0000FF"/>
              </w:rPr>
              <w:t>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3" w:type="dxa"/>
          </w:tcPr>
          <w:p>
            <w:pPr>
              <w:pStyle w:val="12"/>
              <w:jc w:val="both"/>
              <w:rPr>
                <w:color w:val="0000FF"/>
              </w:rPr>
            </w:pPr>
            <w:r>
              <w:rPr>
                <w:b/>
                <w:color w:val="0000FF"/>
              </w:rPr>
              <w:t>1</w:t>
            </w:r>
          </w:p>
        </w:tc>
        <w:tc>
          <w:tcPr>
            <w:tcW w:w="900" w:type="dxa"/>
          </w:tcPr>
          <w:p>
            <w:pPr>
              <w:rPr>
                <w:color w:val="0000FF"/>
              </w:rPr>
            </w:pPr>
          </w:p>
        </w:tc>
        <w:tc>
          <w:tcPr>
            <w:tcW w:w="2154" w:type="dxa"/>
          </w:tcPr>
          <w:p>
            <w:pPr>
              <w:pStyle w:val="12"/>
              <w:jc w:val="both"/>
              <w:rPr>
                <w:color w:val="0000FF"/>
              </w:rPr>
            </w:pPr>
            <w:r>
              <w:rPr>
                <w:b/>
                <w:color w:val="0000FF"/>
              </w:rPr>
              <w:t>交货地点</w:t>
            </w:r>
          </w:p>
        </w:tc>
        <w:tc>
          <w:tcPr>
            <w:tcW w:w="4637" w:type="dxa"/>
          </w:tcPr>
          <w:p>
            <w:pPr>
              <w:pStyle w:val="12"/>
              <w:jc w:val="both"/>
              <w:rPr>
                <w:color w:val="0000FF"/>
              </w:rPr>
            </w:pPr>
            <w:r>
              <w:rPr>
                <w:b/>
                <w:color w:val="0000FF"/>
              </w:rPr>
              <w:t>采购人指定地点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613" w:type="dxa"/>
          </w:tcPr>
          <w:p>
            <w:pPr>
              <w:pStyle w:val="12"/>
              <w:jc w:val="both"/>
              <w:rPr>
                <w:color w:val="0000FF"/>
              </w:rPr>
            </w:pPr>
            <w:r>
              <w:rPr>
                <w:b/>
                <w:color w:val="0000FF"/>
              </w:rPr>
              <w:t>2</w:t>
            </w:r>
          </w:p>
        </w:tc>
        <w:tc>
          <w:tcPr>
            <w:tcW w:w="900" w:type="dxa"/>
          </w:tcPr>
          <w:p>
            <w:pPr>
              <w:rPr>
                <w:color w:val="0000FF"/>
              </w:rPr>
            </w:pPr>
          </w:p>
        </w:tc>
        <w:tc>
          <w:tcPr>
            <w:tcW w:w="2154" w:type="dxa"/>
          </w:tcPr>
          <w:p>
            <w:pPr>
              <w:pStyle w:val="12"/>
              <w:jc w:val="both"/>
              <w:rPr>
                <w:color w:val="0000FF"/>
              </w:rPr>
            </w:pPr>
            <w:r>
              <w:rPr>
                <w:b/>
                <w:color w:val="0000FF"/>
              </w:rPr>
              <w:t>交货时间</w:t>
            </w:r>
          </w:p>
        </w:tc>
        <w:tc>
          <w:tcPr>
            <w:tcW w:w="4637" w:type="dxa"/>
          </w:tcPr>
          <w:p>
            <w:pPr>
              <w:pStyle w:val="12"/>
              <w:jc w:val="both"/>
              <w:rPr>
                <w:color w:val="0000FF"/>
              </w:rPr>
            </w:pPr>
            <w:r>
              <w:rPr>
                <w:b/>
                <w:color w:val="0000FF"/>
              </w:rPr>
              <w:t>自合同签订之日起</w:t>
            </w:r>
            <w:r>
              <w:rPr>
                <w:rFonts w:hint="eastAsia"/>
                <w:b/>
                <w:color w:val="0000FF"/>
                <w:lang w:val="en-US" w:eastAsia="zh-CN"/>
              </w:rPr>
              <w:t>120</w:t>
            </w:r>
            <w:r>
              <w:rPr>
                <w:b/>
                <w:color w:val="0000FF"/>
              </w:rPr>
              <w:t>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3" w:type="dxa"/>
          </w:tcPr>
          <w:p>
            <w:pPr>
              <w:pStyle w:val="12"/>
              <w:jc w:val="both"/>
              <w:rPr>
                <w:color w:val="0000FF"/>
              </w:rPr>
            </w:pPr>
            <w:r>
              <w:rPr>
                <w:b/>
                <w:color w:val="0000FF"/>
              </w:rPr>
              <w:t>3</w:t>
            </w:r>
          </w:p>
        </w:tc>
        <w:tc>
          <w:tcPr>
            <w:tcW w:w="900" w:type="dxa"/>
          </w:tcPr>
          <w:p>
            <w:pPr>
              <w:rPr>
                <w:color w:val="0000FF"/>
              </w:rPr>
            </w:pPr>
          </w:p>
        </w:tc>
        <w:tc>
          <w:tcPr>
            <w:tcW w:w="2154" w:type="dxa"/>
          </w:tcPr>
          <w:p>
            <w:pPr>
              <w:pStyle w:val="12"/>
              <w:jc w:val="both"/>
              <w:rPr>
                <w:color w:val="0000FF"/>
              </w:rPr>
            </w:pPr>
            <w:r>
              <w:rPr>
                <w:b/>
                <w:color w:val="0000FF"/>
              </w:rPr>
              <w:t>交货条件</w:t>
            </w:r>
          </w:p>
        </w:tc>
        <w:tc>
          <w:tcPr>
            <w:tcW w:w="4637" w:type="dxa"/>
          </w:tcPr>
          <w:p>
            <w:pPr>
              <w:pStyle w:val="12"/>
              <w:jc w:val="both"/>
              <w:rPr>
                <w:color w:val="0000FF"/>
              </w:rPr>
            </w:pPr>
            <w:r>
              <w:rPr>
                <w:b/>
                <w:color w:val="0000FF"/>
              </w:rPr>
              <w:t>验收合格交付使用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3" w:type="dxa"/>
          </w:tcPr>
          <w:p>
            <w:pPr>
              <w:pStyle w:val="12"/>
              <w:jc w:val="both"/>
              <w:rPr>
                <w:color w:val="0000FF"/>
              </w:rPr>
            </w:pPr>
            <w:r>
              <w:rPr>
                <w:b/>
                <w:color w:val="0000FF"/>
              </w:rPr>
              <w:t>4</w:t>
            </w:r>
          </w:p>
        </w:tc>
        <w:tc>
          <w:tcPr>
            <w:tcW w:w="900" w:type="dxa"/>
          </w:tcPr>
          <w:p>
            <w:pPr>
              <w:rPr>
                <w:color w:val="0000FF"/>
              </w:rPr>
            </w:pPr>
          </w:p>
        </w:tc>
        <w:tc>
          <w:tcPr>
            <w:tcW w:w="2154" w:type="dxa"/>
          </w:tcPr>
          <w:p>
            <w:pPr>
              <w:pStyle w:val="12"/>
              <w:jc w:val="both"/>
              <w:rPr>
                <w:color w:val="0000FF"/>
              </w:rPr>
            </w:pPr>
            <w:r>
              <w:rPr>
                <w:b/>
                <w:color w:val="0000FF"/>
              </w:rPr>
              <w:t>是否邀请投标人验收</w:t>
            </w:r>
          </w:p>
        </w:tc>
        <w:tc>
          <w:tcPr>
            <w:tcW w:w="4637" w:type="dxa"/>
          </w:tcPr>
          <w:p>
            <w:pPr>
              <w:pStyle w:val="12"/>
              <w:jc w:val="both"/>
              <w:rPr>
                <w:color w:val="0000FF"/>
              </w:rPr>
            </w:pPr>
            <w:r>
              <w:rPr>
                <w:b/>
                <w:color w:val="0000FF"/>
              </w:rPr>
              <w:t>不邀请投标人验收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3" w:type="dxa"/>
          </w:tcPr>
          <w:p>
            <w:pPr>
              <w:pStyle w:val="12"/>
              <w:jc w:val="both"/>
              <w:rPr>
                <w:color w:val="0000FF"/>
              </w:rPr>
            </w:pPr>
            <w:r>
              <w:rPr>
                <w:b/>
                <w:color w:val="0000FF"/>
              </w:rPr>
              <w:t>5</w:t>
            </w:r>
          </w:p>
        </w:tc>
        <w:tc>
          <w:tcPr>
            <w:tcW w:w="900" w:type="dxa"/>
          </w:tcPr>
          <w:p>
            <w:pPr>
              <w:rPr>
                <w:color w:val="0000FF"/>
              </w:rPr>
            </w:pPr>
          </w:p>
        </w:tc>
        <w:tc>
          <w:tcPr>
            <w:tcW w:w="2154" w:type="dxa"/>
          </w:tcPr>
          <w:p>
            <w:pPr>
              <w:pStyle w:val="12"/>
              <w:jc w:val="both"/>
              <w:rPr>
                <w:color w:val="0000FF"/>
              </w:rPr>
            </w:pPr>
            <w:r>
              <w:rPr>
                <w:b/>
                <w:color w:val="0000FF"/>
              </w:rPr>
              <w:t>履约验收方式</w:t>
            </w:r>
          </w:p>
        </w:tc>
        <w:tc>
          <w:tcPr>
            <w:tcW w:w="4637" w:type="dxa"/>
          </w:tcPr>
          <w:p>
            <w:pPr>
              <w:pStyle w:val="12"/>
              <w:jc w:val="both"/>
              <w:rPr>
                <w:color w:val="0000FF"/>
              </w:rPr>
            </w:pPr>
            <w:r>
              <w:rPr>
                <w:b/>
                <w:color w:val="0000FF"/>
              </w:rPr>
              <w:t>1、期次1，说明：详见招标文件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3" w:type="dxa"/>
          </w:tcPr>
          <w:p>
            <w:pPr>
              <w:pStyle w:val="12"/>
              <w:jc w:val="both"/>
              <w:rPr>
                <w:color w:val="0000FF"/>
              </w:rPr>
            </w:pPr>
            <w:r>
              <w:rPr>
                <w:b/>
                <w:color w:val="0000FF"/>
              </w:rPr>
              <w:t>6</w:t>
            </w:r>
          </w:p>
        </w:tc>
        <w:tc>
          <w:tcPr>
            <w:tcW w:w="900" w:type="dxa"/>
          </w:tcPr>
          <w:p>
            <w:pPr>
              <w:rPr>
                <w:color w:val="0000FF"/>
              </w:rPr>
            </w:pPr>
            <w:r>
              <w:rPr>
                <w:b/>
                <w:color w:val="0000FF"/>
                <w:sz w:val="28"/>
              </w:rPr>
              <w:t>★</w:t>
            </w:r>
          </w:p>
        </w:tc>
        <w:tc>
          <w:tcPr>
            <w:tcW w:w="2154" w:type="dxa"/>
          </w:tcPr>
          <w:p>
            <w:pPr>
              <w:pStyle w:val="12"/>
              <w:jc w:val="both"/>
              <w:rPr>
                <w:color w:val="0000FF"/>
              </w:rPr>
            </w:pPr>
            <w:r>
              <w:rPr>
                <w:b/>
                <w:color w:val="0000FF"/>
              </w:rPr>
              <w:t>合同支付方式</w:t>
            </w:r>
          </w:p>
        </w:tc>
        <w:tc>
          <w:tcPr>
            <w:tcW w:w="4637" w:type="dxa"/>
          </w:tcPr>
          <w:p>
            <w:pPr>
              <w:pStyle w:val="12"/>
              <w:rPr>
                <w:rFonts w:hint="eastAsia" w:eastAsiaTheme="minorEastAsia"/>
                <w:lang w:val="en-US" w:eastAsia="zh-CN"/>
              </w:rPr>
            </w:pPr>
            <w:r>
              <w:t>1、项目合同签订，成交供应商向采购人提供由成交</w:t>
            </w:r>
            <w:r>
              <w:rPr>
                <w:rFonts w:hint="eastAsia"/>
                <w:lang w:val="en-US" w:eastAsia="zh-CN"/>
              </w:rPr>
              <w:t>中标人</w:t>
            </w:r>
            <w:r>
              <w:t>开具的等额的税务正式发票，达到付款条件起</w:t>
            </w:r>
            <w:r>
              <w:rPr>
                <w:rFonts w:hint="eastAsia"/>
                <w:lang w:val="en-US" w:eastAsia="zh-CN"/>
              </w:rPr>
              <w:t>20</w:t>
            </w:r>
            <w:r>
              <w:t>日内，支付合同总金额的</w:t>
            </w:r>
            <w:r>
              <w:rPr>
                <w:rFonts w:hint="eastAsia"/>
                <w:lang w:val="en-US" w:eastAsia="zh-CN"/>
              </w:rPr>
              <w:t>30</w:t>
            </w:r>
            <w:r>
              <w:t>.00%</w:t>
            </w:r>
            <w:r>
              <w:rPr>
                <w:rFonts w:hint="eastAsia"/>
                <w:lang w:val="en-US" w:eastAsia="zh-CN"/>
              </w:rPr>
              <w:t>.</w:t>
            </w:r>
          </w:p>
          <w:p>
            <w:pPr>
              <w:pStyle w:val="12"/>
              <w:rPr>
                <w:rFonts w:hint="eastAsia" w:eastAsiaTheme="minorEastAsia"/>
                <w:color w:val="0000FF"/>
                <w:lang w:eastAsia="zh-CN"/>
              </w:rPr>
            </w:pPr>
            <w:r>
              <w:rPr>
                <w:rFonts w:hint="eastAsia"/>
                <w:b/>
                <w:color w:val="0000FF"/>
                <w:lang w:val="en-US" w:eastAsia="zh-CN"/>
              </w:rPr>
              <w:t>2、</w:t>
            </w:r>
            <w:r>
              <w:rPr>
                <w:b/>
                <w:color w:val="0000FF"/>
              </w:rPr>
              <w:t>设备送达采购人指定地点，经采购人验收合格且</w:t>
            </w:r>
            <w:r>
              <w:rPr>
                <w:rFonts w:hint="eastAsia"/>
                <w:lang w:val="en-US" w:eastAsia="zh-CN"/>
              </w:rPr>
              <w:t>中标人</w:t>
            </w:r>
            <w:r>
              <w:t>开具的等额的税务正式发票，达到付款条件起</w:t>
            </w:r>
            <w:r>
              <w:rPr>
                <w:rFonts w:hint="eastAsia"/>
                <w:lang w:val="en-US" w:eastAsia="zh-CN"/>
              </w:rPr>
              <w:t>20</w:t>
            </w:r>
            <w:r>
              <w:t>日内，支付合同总金额的</w:t>
            </w:r>
            <w:r>
              <w:rPr>
                <w:rFonts w:hint="eastAsia"/>
                <w:lang w:val="en-US" w:eastAsia="zh-CN"/>
              </w:rPr>
              <w:t>50</w:t>
            </w:r>
            <w:r>
              <w:t>.00%</w:t>
            </w:r>
            <w:r>
              <w:rPr>
                <w:rFonts w:hint="eastAsia"/>
                <w:lang w:val="en-US" w:eastAsia="zh-CN"/>
              </w:rPr>
              <w:t>.</w:t>
            </w:r>
          </w:p>
          <w:p>
            <w:pPr>
              <w:pStyle w:val="12"/>
              <w:rPr>
                <w:rFonts w:hint="eastAsia"/>
                <w:lang w:val="en-US" w:eastAsia="zh-CN"/>
              </w:rPr>
            </w:pPr>
            <w:r>
              <w:rPr>
                <w:rFonts w:hint="eastAsia"/>
                <w:b/>
                <w:color w:val="0000FF"/>
                <w:lang w:val="en-US" w:eastAsia="zh-CN"/>
              </w:rPr>
              <w:t>3</w:t>
            </w:r>
            <w:r>
              <w:rPr>
                <w:b/>
                <w:color w:val="0000FF"/>
              </w:rPr>
              <w:t>、中标人按照招标文件的要求提供合格设备，安装调试完成，所有设备经采购人验收合格且无质量问题，</w:t>
            </w:r>
            <w:r>
              <w:rPr>
                <w:rFonts w:hint="eastAsia"/>
                <w:lang w:val="en-US" w:eastAsia="zh-CN"/>
              </w:rPr>
              <w:t>中标人</w:t>
            </w:r>
            <w:r>
              <w:t>开具的等额的税务正式发票，达到付款条件起</w:t>
            </w:r>
            <w:r>
              <w:rPr>
                <w:rFonts w:hint="eastAsia"/>
                <w:lang w:val="en-US" w:eastAsia="zh-CN"/>
              </w:rPr>
              <w:t>20</w:t>
            </w:r>
            <w:r>
              <w:t>日内，支付合同总金额的</w:t>
            </w:r>
            <w:r>
              <w:rPr>
                <w:rFonts w:hint="eastAsia"/>
                <w:lang w:val="en-US" w:eastAsia="zh-CN"/>
              </w:rPr>
              <w:t>80</w:t>
            </w:r>
            <w:r>
              <w:t>.00%</w:t>
            </w:r>
            <w:r>
              <w:rPr>
                <w:rFonts w:hint="eastAsia"/>
                <w:lang w:val="en-US" w:eastAsia="zh-CN"/>
              </w:rPr>
              <w:t>.</w:t>
            </w:r>
          </w:p>
          <w:p>
            <w:pPr>
              <w:pStyle w:val="12"/>
              <w:rPr>
                <w:rFonts w:hint="eastAsia"/>
                <w:b/>
                <w:bCs/>
                <w:lang w:val="en-US" w:eastAsia="zh-CN"/>
              </w:rPr>
            </w:pPr>
            <w:r>
              <w:rPr>
                <w:rFonts w:hint="eastAsia"/>
                <w:b/>
                <w:color w:val="0000FF"/>
                <w:lang w:val="en-US" w:eastAsia="zh-CN"/>
              </w:rPr>
              <w:t>4</w:t>
            </w:r>
            <w:r>
              <w:rPr>
                <w:b/>
                <w:color w:val="0000FF"/>
              </w:rPr>
              <w:t>、中标人按照招标文件的要求提供合格设备，安装调试完成，所有设备经采购人验收合格且无质量问题</w:t>
            </w:r>
            <w:r>
              <w:rPr>
                <w:rFonts w:hint="eastAsia"/>
                <w:b/>
                <w:color w:val="0000FF"/>
                <w:lang w:val="en-US" w:eastAsia="zh-CN"/>
              </w:rPr>
              <w:t>交付使用，并通过第三方结算审核后，</w:t>
            </w:r>
            <w:r>
              <w:rPr>
                <w:rFonts w:hint="eastAsia"/>
                <w:lang w:val="en-US" w:eastAsia="zh-CN"/>
              </w:rPr>
              <w:t>中标人</w:t>
            </w:r>
            <w:r>
              <w:t>开具的等额的税务正式发票</w:t>
            </w:r>
            <w:r>
              <w:rPr>
                <w:rFonts w:hint="eastAsia"/>
                <w:lang w:eastAsia="zh-CN"/>
              </w:rPr>
              <w:t>（</w:t>
            </w:r>
            <w:r>
              <w:rPr>
                <w:rFonts w:hint="eastAsia"/>
                <w:lang w:val="en-US" w:eastAsia="zh-CN"/>
              </w:rPr>
              <w:t>开具100%的发票</w:t>
            </w:r>
            <w:r>
              <w:rPr>
                <w:rFonts w:hint="eastAsia"/>
                <w:lang w:eastAsia="zh-CN"/>
              </w:rPr>
              <w:t>）</w:t>
            </w:r>
            <w:r>
              <w:t>，达到付款条件起</w:t>
            </w:r>
            <w:r>
              <w:rPr>
                <w:rFonts w:hint="eastAsia"/>
                <w:lang w:val="en-US" w:eastAsia="zh-CN"/>
              </w:rPr>
              <w:t>20</w:t>
            </w:r>
            <w:r>
              <w:t>日内，支付合同总金额的</w:t>
            </w:r>
            <w:r>
              <w:rPr>
                <w:rFonts w:hint="eastAsia"/>
                <w:lang w:val="en-US" w:eastAsia="zh-CN"/>
              </w:rPr>
              <w:t>97</w:t>
            </w:r>
            <w:r>
              <w:t>.00%</w:t>
            </w:r>
            <w:r>
              <w:rPr>
                <w:rFonts w:hint="eastAsia"/>
                <w:lang w:val="en-US" w:eastAsia="zh-CN"/>
              </w:rPr>
              <w:t>.</w:t>
            </w:r>
          </w:p>
          <w:p>
            <w:pPr>
              <w:pStyle w:val="12"/>
              <w:rPr>
                <w:rFonts w:hint="default"/>
                <w:lang w:val="en-US" w:eastAsia="zh-CN"/>
              </w:rPr>
            </w:pPr>
            <w:r>
              <w:rPr>
                <w:rFonts w:hint="eastAsia"/>
                <w:lang w:val="en-US" w:eastAsia="zh-CN"/>
              </w:rPr>
              <w:t>5、剩余3%待售后期满(售后期为12个月)，且中标人提交申请报告后委托人28个工作日内付清尾款；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3" w:type="dxa"/>
          </w:tcPr>
          <w:p>
            <w:pPr>
              <w:pStyle w:val="12"/>
              <w:jc w:val="both"/>
              <w:rPr>
                <w:color w:val="0000FF"/>
              </w:rPr>
            </w:pPr>
            <w:r>
              <w:rPr>
                <w:b/>
                <w:color w:val="0000FF"/>
              </w:rPr>
              <w:t>7</w:t>
            </w:r>
          </w:p>
        </w:tc>
        <w:tc>
          <w:tcPr>
            <w:tcW w:w="900" w:type="dxa"/>
          </w:tcPr>
          <w:p>
            <w:pPr>
              <w:rPr>
                <w:color w:val="0000FF"/>
              </w:rPr>
            </w:pPr>
            <w:r>
              <w:rPr>
                <w:b/>
                <w:color w:val="0000FF"/>
                <w:sz w:val="28"/>
              </w:rPr>
              <w:t>★</w:t>
            </w:r>
          </w:p>
        </w:tc>
        <w:tc>
          <w:tcPr>
            <w:tcW w:w="2154" w:type="dxa"/>
          </w:tcPr>
          <w:p>
            <w:pPr>
              <w:pStyle w:val="12"/>
              <w:jc w:val="both"/>
              <w:rPr>
                <w:color w:val="0000FF"/>
              </w:rPr>
            </w:pPr>
            <w:r>
              <w:rPr>
                <w:b/>
                <w:color w:val="0000FF"/>
              </w:rPr>
              <w:t>其他</w:t>
            </w:r>
          </w:p>
        </w:tc>
        <w:tc>
          <w:tcPr>
            <w:tcW w:w="4637" w:type="dxa"/>
          </w:tcPr>
          <w:p>
            <w:pPr>
              <w:pStyle w:val="12"/>
              <w:jc w:val="both"/>
              <w:rPr>
                <w:b/>
                <w:color w:val="0000FF"/>
              </w:rPr>
            </w:pPr>
            <w:r>
              <w:rPr>
                <w:b/>
                <w:color w:val="0000FF"/>
              </w:rPr>
              <w:t>本项目履约保证金百分比：</w:t>
            </w:r>
            <w:r>
              <w:rPr>
                <w:rFonts w:hint="eastAsia"/>
                <w:b/>
                <w:color w:val="0000FF"/>
                <w:lang w:val="en-US" w:eastAsia="zh-CN"/>
              </w:rPr>
              <w:t>合同价款的10</w:t>
            </w:r>
            <w:r>
              <w:rPr>
                <w:b/>
                <w:color w:val="0000FF"/>
              </w:rPr>
              <w:t>%。说明：履约保证金提交采用可以选银行转账、银行保函等形式之一，履约保证金应在合同签订前</w:t>
            </w:r>
            <w:r>
              <w:rPr>
                <w:rFonts w:hint="eastAsia"/>
                <w:b/>
                <w:color w:val="0000FF"/>
                <w:lang w:val="en-US" w:eastAsia="zh-CN"/>
              </w:rPr>
              <w:t>5</w:t>
            </w:r>
            <w:r>
              <w:rPr>
                <w:b/>
                <w:color w:val="0000FF"/>
              </w:rPr>
              <w:t>个工作日内提交，待项目验收合格后 ，无未了事宜无息退还。如中标人合同期内有违约行为，按合同约定扣除相应罚金。</w:t>
            </w:r>
          </w:p>
        </w:tc>
      </w:tr>
    </w:tbl>
    <w:p>
      <w:pPr>
        <w:pStyle w:val="12"/>
        <w:ind w:firstLine="480"/>
        <w:jc w:val="left"/>
      </w:pPr>
      <w:r>
        <w:rPr>
          <w:b/>
        </w:rPr>
        <w:t>其他商务要求：</w:t>
      </w:r>
    </w:p>
    <w:p>
      <w:pPr>
        <w:pStyle w:val="12"/>
        <w:jc w:val="both"/>
        <w:rPr>
          <w:rFonts w:hint="eastAsia"/>
          <w:lang w:val="en-US" w:eastAsia="zh-CN"/>
        </w:rPr>
      </w:pPr>
      <w:r>
        <w:rPr>
          <w:rFonts w:hint="eastAsia"/>
          <w:lang w:val="en-US" w:eastAsia="zh-CN"/>
        </w:rPr>
        <w:t>8、中标供应 商应在符合《招标文件》规定的交付时间内供货，并通过验收。在此期间，发生的运输、搬运定位及安装调试费用均由中标供 应商负责。</w:t>
      </w:r>
    </w:p>
    <w:p>
      <w:pPr>
        <w:pStyle w:val="12"/>
        <w:jc w:val="both"/>
        <w:rPr>
          <w:rFonts w:hint="eastAsia"/>
          <w:lang w:val="en-US" w:eastAsia="zh-CN"/>
        </w:rPr>
      </w:pPr>
      <w:r>
        <w:rPr>
          <w:rFonts w:hint="eastAsia"/>
          <w:lang w:val="en-US" w:eastAsia="zh-CN"/>
        </w:rPr>
        <w:t>9、质保期：验收合格后至少1年。中标方专业工程师实施免费安装,调试。保修期内免费维修,提供仪器终身维修维护服务。保修期内：免费进行设备安全调试；免费上门维修保养及更换配件；在质量保证期内设备运行发生故障时，中标方在接到采购人故障通知后1小时内响应要求，24小时内应委派专业技术人员到现场免费提供咨询、维修和更换有缺陷的零部件或整机等服务，若48小时内无法排除故障，则应先提供同样货物供甲方使用，其中发生一切费用由乙方承担。并及时填写维修报告(包括故障原因、处理情况等)，针对以上要求，投标人须在投标文件商务部分提供专项承诺函，否则投标无效。质量保证期内中标方有责任对设备进行不定期的巡检维护。</w:t>
      </w:r>
    </w:p>
    <w:p>
      <w:pPr>
        <w:pStyle w:val="12"/>
        <w:jc w:val="both"/>
        <w:rPr>
          <w:rFonts w:hint="eastAsia"/>
          <w:lang w:val="en-US" w:eastAsia="zh-CN"/>
        </w:rPr>
      </w:pPr>
      <w:r>
        <w:rPr>
          <w:rFonts w:hint="eastAsia"/>
          <w:lang w:val="en-US" w:eastAsia="zh-CN"/>
        </w:rPr>
        <w:t>10、所有服务均为上门服务，由此产生的一切费用均包含在投标报价中，各投标人可视自身能力在投标文件中提供更优、更合理的售后服务承诺；</w:t>
      </w:r>
    </w:p>
    <w:p>
      <w:pPr>
        <w:pStyle w:val="12"/>
        <w:jc w:val="both"/>
        <w:rPr>
          <w:rFonts w:hint="eastAsia"/>
          <w:lang w:val="en-US" w:eastAsia="zh-CN"/>
        </w:rPr>
      </w:pPr>
      <w:r>
        <w:rPr>
          <w:rFonts w:hint="eastAsia"/>
          <w:lang w:val="en-US" w:eastAsia="zh-CN"/>
        </w:rPr>
        <w:t>11、验收方法</w:t>
      </w:r>
    </w:p>
    <w:p>
      <w:pPr>
        <w:pStyle w:val="12"/>
        <w:jc w:val="both"/>
        <w:rPr>
          <w:rFonts w:hint="eastAsia"/>
          <w:lang w:val="en-US" w:eastAsia="zh-CN"/>
        </w:rPr>
      </w:pPr>
      <w:r>
        <w:rPr>
          <w:rFonts w:hint="eastAsia"/>
          <w:lang w:val="en-US" w:eastAsia="zh-CN"/>
        </w:rPr>
        <w:t>（1）采购人根据招标代理人出具的《通知书》、招投标文件、与中标方签订的采购合同进行货物品牌、技术配置、数量、质量、性能等方面的验收；</w:t>
      </w:r>
    </w:p>
    <w:p>
      <w:pPr>
        <w:pStyle w:val="12"/>
        <w:jc w:val="both"/>
        <w:rPr>
          <w:rFonts w:hint="eastAsia"/>
          <w:lang w:val="en-US" w:eastAsia="zh-CN"/>
        </w:rPr>
      </w:pPr>
      <w:r>
        <w:rPr>
          <w:rFonts w:hint="eastAsia"/>
          <w:lang w:val="en-US" w:eastAsia="zh-CN"/>
        </w:rPr>
        <w:t>（2）采购人根据货物装箱清单进行货物主件及附件等的验收；</w:t>
      </w:r>
    </w:p>
    <w:p>
      <w:pPr>
        <w:pStyle w:val="12"/>
        <w:jc w:val="both"/>
        <w:rPr>
          <w:rFonts w:hint="eastAsia"/>
          <w:lang w:val="en-US" w:eastAsia="zh-CN"/>
        </w:rPr>
      </w:pPr>
      <w:r>
        <w:rPr>
          <w:rFonts w:hint="eastAsia"/>
          <w:lang w:val="en-US" w:eastAsia="zh-CN"/>
        </w:rPr>
        <w:t>（3）中标方根据招标文件、采购合同要求进行设备安装、调试后，由采购人进行使用性能方面的验收；</w:t>
      </w:r>
    </w:p>
    <w:p>
      <w:pPr>
        <w:pStyle w:val="12"/>
        <w:jc w:val="both"/>
        <w:rPr>
          <w:rFonts w:hint="eastAsia"/>
          <w:lang w:val="en-US" w:eastAsia="zh-CN"/>
        </w:rPr>
      </w:pPr>
      <w:r>
        <w:rPr>
          <w:rFonts w:hint="eastAsia"/>
          <w:lang w:val="en-US" w:eastAsia="zh-CN"/>
        </w:rPr>
        <w:t>12、培训要求</w:t>
      </w:r>
    </w:p>
    <w:p>
      <w:pPr>
        <w:pStyle w:val="12"/>
        <w:jc w:val="both"/>
        <w:rPr>
          <w:rFonts w:hint="eastAsia"/>
          <w:lang w:val="en-US" w:eastAsia="zh-CN"/>
        </w:rPr>
      </w:pPr>
      <w:r>
        <w:rPr>
          <w:rFonts w:hint="eastAsia"/>
          <w:lang w:val="en-US" w:eastAsia="zh-CN"/>
        </w:rPr>
        <w:t>（1）中标人应根据设备特点，免费对采购人技术人员、管理人员进行操作、维修、保养等方面的专业培训，直至能独立操作。中标人委派的专业技术人员所需费用均由中标人承担。</w:t>
      </w:r>
    </w:p>
    <w:p>
      <w:pPr>
        <w:pStyle w:val="12"/>
        <w:jc w:val="both"/>
        <w:rPr>
          <w:rFonts w:hint="eastAsia"/>
          <w:lang w:val="en-US" w:eastAsia="zh-CN"/>
        </w:rPr>
      </w:pPr>
      <w:r>
        <w:rPr>
          <w:rFonts w:hint="eastAsia"/>
          <w:lang w:val="en-US" w:eastAsia="zh-CN"/>
        </w:rPr>
        <w:t>（2）提供现场培训，可根据用户需求举办不定期培训，帮助用户提髙日常基本维护技能和系统的操作、管理满足工作的需要。</w:t>
      </w:r>
    </w:p>
    <w:p>
      <w:pPr>
        <w:pStyle w:val="12"/>
        <w:jc w:val="both"/>
        <w:rPr>
          <w:rFonts w:hint="eastAsia"/>
          <w:lang w:val="en-US" w:eastAsia="zh-CN"/>
        </w:rPr>
      </w:pPr>
      <w:r>
        <w:rPr>
          <w:rFonts w:hint="eastAsia"/>
          <w:lang w:val="en-US" w:eastAsia="zh-CN"/>
        </w:rPr>
        <w:t>13、投标人的投标报价为本项目的包干价，投标人的总报价为本次招标货物安装调试完毕，经采购人验收合格并交付使用所有可能发生的费用，包括货物制造、运输、保险、采购保管、产品检验检测、安装调试、线路修改费、施工配合费、税收、验收、招标代 理服务费、进口代 理服务费以及售 后服务等费用。中标人安装结束后应在规定的交付使用时间之前将本项实施产生的废物移离现场，清理妥当，费用由中标人负责。</w:t>
      </w:r>
    </w:p>
    <w:p>
      <w:pPr>
        <w:pStyle w:val="12"/>
        <w:jc w:val="both"/>
        <w:rPr>
          <w:rFonts w:hint="eastAsia"/>
          <w:lang w:val="en-US" w:eastAsia="zh-CN"/>
        </w:rPr>
      </w:pPr>
      <w:r>
        <w:rPr>
          <w:rFonts w:hint="eastAsia"/>
          <w:lang w:val="en-US" w:eastAsia="zh-CN"/>
        </w:rPr>
        <w:t>14：违约责任：</w:t>
      </w:r>
    </w:p>
    <w:p>
      <w:pPr>
        <w:pStyle w:val="12"/>
        <w:jc w:val="both"/>
        <w:rPr>
          <w:rFonts w:hint="eastAsia"/>
          <w:lang w:val="en-US" w:eastAsia="zh-CN"/>
        </w:rPr>
      </w:pPr>
      <w:r>
        <w:rPr>
          <w:rFonts w:hint="eastAsia"/>
          <w:lang w:val="en-US" w:eastAsia="zh-CN"/>
        </w:rPr>
        <w:t>14.1、除不可抗力因素外，如果中标方不能按照合同规定的时间交付和提供服务，应及时以书面形式将逾期的事实、可能逾期的时间和原因通知采购人。采购人收到中标方通知后，将尽快作出评价，决定是否同意延长交货期及收取逾期赔偿费，逾期赔偿费的金额为甲方所遭受的所有损失。甲方在不影响合同项下的其它补救措施情况下，中标方需支付采购人违约金，违约金按本合同总价的0.1％/天计算，逾期期限为30天，一旦达此限期，采购人有权解除合同，且中标方仍应按合同约定支付违约金。违约金的支付不影响采购人向中标方要求损害赔偿。</w:t>
      </w:r>
    </w:p>
    <w:p>
      <w:pPr>
        <w:pStyle w:val="12"/>
        <w:jc w:val="both"/>
        <w:rPr>
          <w:rFonts w:hint="eastAsia"/>
          <w:lang w:val="en-US" w:eastAsia="zh-CN"/>
        </w:rPr>
      </w:pPr>
      <w:r>
        <w:rPr>
          <w:rFonts w:hint="eastAsia"/>
          <w:lang w:val="en-US" w:eastAsia="zh-CN"/>
        </w:rPr>
        <w:t>14.2、乙方不能按时交付货物的，每逾期一日，应按该合同款总额0.1％标准向甲方支付日违约金，逾期超过十五日的，甲方有权单方解除本合同，乙方除了应退还已收取的全部货款外，同时乙方还应向甲方偿付该合同款20%的违约金。</w:t>
      </w:r>
    </w:p>
    <w:p>
      <w:pPr>
        <w:pStyle w:val="12"/>
        <w:jc w:val="both"/>
        <w:rPr>
          <w:rFonts w:hint="eastAsia"/>
          <w:lang w:val="en-US" w:eastAsia="zh-CN"/>
        </w:rPr>
      </w:pPr>
      <w:r>
        <w:rPr>
          <w:rFonts w:hint="eastAsia"/>
          <w:lang w:val="en-US" w:eastAsia="zh-CN"/>
        </w:rPr>
        <w:t>14.3如果中标方未能按照合同约定的时间提供售后服务的，每逾期1天，中标方应向采购人支付合同总额0.1％的违约金，若因此给采购人造成损失的，中标方还应赔偿甲方所受的损失。</w:t>
      </w:r>
    </w:p>
    <w:p>
      <w:pPr>
        <w:pStyle w:val="12"/>
        <w:jc w:val="both"/>
        <w:rPr>
          <w:rFonts w:hint="eastAsia"/>
          <w:lang w:val="en-US" w:eastAsia="zh-CN"/>
        </w:rPr>
      </w:pPr>
      <w:r>
        <w:rPr>
          <w:rFonts w:hint="eastAsia"/>
          <w:lang w:val="en-US" w:eastAsia="zh-CN"/>
        </w:rPr>
        <w:t>14.4保修期内，中标方未尽保修义务的，采购人可自行寻求解决，中标方应承担自采购人提出故障申告至采购人自行解决相应故障期间内的违约金并赔偿采购人损失，采购人由此产生的费用，由中标方承担。</w:t>
      </w:r>
    </w:p>
    <w:p>
      <w:pPr>
        <w:pStyle w:val="12"/>
        <w:jc w:val="both"/>
        <w:rPr>
          <w:rFonts w:hint="eastAsia"/>
          <w:lang w:val="en-US" w:eastAsia="zh-CN"/>
        </w:rPr>
      </w:pPr>
      <w:r>
        <w:rPr>
          <w:rFonts w:hint="eastAsia"/>
          <w:lang w:val="en-US" w:eastAsia="zh-CN"/>
        </w:rPr>
        <w:t>四、其他事项</w:t>
      </w:r>
    </w:p>
    <w:p>
      <w:pPr>
        <w:pStyle w:val="12"/>
        <w:jc w:val="both"/>
        <w:rPr>
          <w:rFonts w:hint="eastAsia"/>
          <w:lang w:val="en-US" w:eastAsia="zh-CN"/>
        </w:rPr>
      </w:pPr>
      <w:r>
        <w:rPr>
          <w:rFonts w:hint="eastAsia"/>
          <w:lang w:val="en-US" w:eastAsia="zh-CN"/>
        </w:rPr>
        <w:t>1、除招标文件另有规定外，若出现有关法律、法规和规章有强制性规定但招标文件未列明的情形，则投标人应按照有关法律、法规和规章强制性规定执行。</w:t>
      </w:r>
    </w:p>
    <w:p>
      <w:pPr>
        <w:pStyle w:val="12"/>
        <w:jc w:val="both"/>
        <w:rPr>
          <w:rFonts w:hint="eastAsia"/>
          <w:lang w:val="en-US" w:eastAsia="zh-CN"/>
        </w:rPr>
      </w:pPr>
      <w:r>
        <w:rPr>
          <w:rFonts w:hint="eastAsia"/>
          <w:lang w:val="en-US" w:eastAsia="zh-CN"/>
        </w:rPr>
        <w:t>2、其他：</w:t>
      </w:r>
    </w:p>
    <w:p>
      <w:pPr>
        <w:pStyle w:val="12"/>
        <w:ind w:firstLine="480"/>
        <w:jc w:val="both"/>
      </w:pPr>
    </w:p>
    <w:p>
      <w:pPr>
        <w:pStyle w:val="12"/>
        <w:jc w:val="both"/>
      </w:pPr>
      <w:r>
        <w:rPr>
          <w:rFonts w:hint="eastAsia"/>
          <w:lang w:val="en-US" w:eastAsia="zh-CN"/>
        </w:rPr>
        <w:t xml:space="preserve">1、除招标文件另有规定外，若出现有关法律、法规和规章有强制性规定但招标 </w:t>
      </w:r>
    </w:p>
    <w:p>
      <w:pPr>
        <w:pStyle w:val="12"/>
        <w:jc w:val="both"/>
      </w:pPr>
      <w:r>
        <w:rPr>
          <w:rFonts w:hint="eastAsia"/>
          <w:lang w:val="en-US" w:eastAsia="zh-CN"/>
        </w:rPr>
        <w:t xml:space="preserve">文件未列明的情形，则投标人应按照有关法律、法规和规章强制性规定执行。 </w:t>
      </w:r>
    </w:p>
    <w:p>
      <w:pPr>
        <w:pStyle w:val="12"/>
        <w:jc w:val="both"/>
      </w:pPr>
      <w:r>
        <w:rPr>
          <w:rFonts w:hint="eastAsia"/>
          <w:lang w:val="en-US" w:eastAsia="zh-CN"/>
        </w:rPr>
        <w:t xml:space="preserve">2、其他：投标人须保障采购人在使用该货物或其任何一部分时不受到第三方关 </w:t>
      </w:r>
    </w:p>
    <w:p>
      <w:pPr>
        <w:pStyle w:val="12"/>
        <w:jc w:val="both"/>
      </w:pPr>
      <w:r>
        <w:rPr>
          <w:rFonts w:hint="eastAsia"/>
          <w:lang w:val="en-US" w:eastAsia="zh-CN"/>
        </w:rPr>
        <w:t xml:space="preserve">于侵犯专 利权、商 标权或工业设 计权等知识产权的指控。如果任何第三方 </w:t>
      </w:r>
    </w:p>
    <w:p>
      <w:pPr>
        <w:pStyle w:val="12"/>
        <w:jc w:val="both"/>
      </w:pPr>
      <w:r>
        <w:rPr>
          <w:rFonts w:hint="eastAsia"/>
          <w:lang w:val="en-US" w:eastAsia="zh-CN"/>
        </w:rPr>
        <w:t xml:space="preserve">提出侵权指控与采购代理机构和采购人无关，投标人须与第三方交涉并承担可 </w:t>
      </w:r>
    </w:p>
    <w:p>
      <w:pPr>
        <w:pStyle w:val="12"/>
        <w:jc w:val="both"/>
      </w:pPr>
      <w:r>
        <w:rPr>
          <w:rFonts w:hint="eastAsia"/>
          <w:lang w:val="en-US" w:eastAsia="zh-CN"/>
        </w:rPr>
        <w:t xml:space="preserve">能发生的责任与一切费用。如采购人因此而遭致损失的，投标人应赔偿该损失。 </w:t>
      </w:r>
    </w:p>
    <w:p>
      <w:pPr>
        <w:pStyle w:val="12"/>
        <w:jc w:val="both"/>
      </w:pPr>
      <w:r>
        <w:rPr>
          <w:rFonts w:hint="eastAsia"/>
          <w:lang w:val="en-US" w:eastAsia="zh-CN"/>
        </w:rPr>
        <w:t xml:space="preserve">3、报价要求： </w:t>
      </w:r>
    </w:p>
    <w:p>
      <w:pPr>
        <w:pStyle w:val="12"/>
        <w:jc w:val="both"/>
      </w:pPr>
      <w:r>
        <w:rPr>
          <w:rFonts w:hint="eastAsia"/>
          <w:lang w:val="en-US" w:eastAsia="zh-CN"/>
        </w:rPr>
        <w:t xml:space="preserve">投标人报价为产品送达采购人指定地点进行安装，经采购人验收合格所发生的一 </w:t>
      </w:r>
    </w:p>
    <w:p>
      <w:pPr>
        <w:pStyle w:val="12"/>
        <w:jc w:val="both"/>
      </w:pPr>
      <w:r>
        <w:rPr>
          <w:rFonts w:hint="eastAsia"/>
          <w:lang w:val="en-US" w:eastAsia="zh-CN"/>
        </w:rPr>
        <w:t xml:space="preserve">切费用，其包括但不限于以下费用：产品（含主要设备、配件、辅材）供应、运 </w:t>
      </w:r>
    </w:p>
    <w:p>
      <w:pPr>
        <w:pStyle w:val="12"/>
        <w:jc w:val="both"/>
      </w:pPr>
      <w:r>
        <w:rPr>
          <w:rFonts w:hint="eastAsia"/>
          <w:lang w:val="en-US" w:eastAsia="zh-CN"/>
        </w:rPr>
        <w:t xml:space="preserve">输装卸费、保险费、安装费、调试费、风险费、验收费、维保期技术支持及运行 </w:t>
      </w:r>
    </w:p>
    <w:p>
      <w:pPr>
        <w:pStyle w:val="12"/>
        <w:jc w:val="both"/>
      </w:pPr>
      <w:r>
        <w:rPr>
          <w:rFonts w:hint="eastAsia"/>
          <w:lang w:val="en-US" w:eastAsia="zh-CN"/>
        </w:rPr>
        <w:t>维护费用、售后维保服务（含维保期内的上门服务）等与之相关的一切费用。</w:t>
      </w:r>
    </w:p>
    <w:p>
      <w:pPr>
        <w:pStyle w:val="12"/>
        <w:jc w:val="both"/>
      </w:pPr>
      <w:r>
        <w:rPr>
          <w:b/>
          <w:highlight w:val="none"/>
        </w:rPr>
        <w:t>配电箱、密集架平面布置图（空调的布置要避开所有的密集架，密集架的设计图详见附件）。</w:t>
      </w:r>
    </w:p>
    <w:p>
      <w:pPr>
        <w:pStyle w:val="12"/>
        <w:jc w:val="both"/>
      </w:pPr>
      <w:r>
        <w:rPr>
          <w:b/>
        </w:rPr>
        <w:t xml:space="preserve"> </w:t>
      </w:r>
    </w:p>
    <w:p>
      <w:pPr>
        <w:pStyle w:val="12"/>
        <w:jc w:val="center"/>
        <w:outlineLvl w:val="1"/>
      </w:pPr>
      <w:r>
        <w:rPr>
          <w:b/>
          <w:sz w:val="36"/>
        </w:rPr>
        <w:t>第六章 政府采购合同</w:t>
      </w:r>
    </w:p>
    <w:p>
      <w:pPr>
        <w:pStyle w:val="12"/>
        <w:jc w:val="center"/>
        <w:outlineLvl w:val="2"/>
      </w:pPr>
      <w:r>
        <w:rPr>
          <w:b/>
          <w:sz w:val="28"/>
        </w:rPr>
        <w:t>参考文本</w:t>
      </w:r>
    </w:p>
    <w:p>
      <w:pPr>
        <w:pStyle w:val="12"/>
        <w:jc w:val="left"/>
      </w:pPr>
    </w:p>
    <w:p>
      <w:pPr>
        <w:pStyle w:val="12"/>
        <w:jc w:val="left"/>
      </w:pPr>
    </w:p>
    <w:p>
      <w:pPr>
        <w:pStyle w:val="12"/>
        <w:jc w:val="left"/>
      </w:pPr>
    </w:p>
    <w:p>
      <w:pPr>
        <w:pStyle w:val="12"/>
        <w:jc w:val="left"/>
      </w:pPr>
    </w:p>
    <w:p>
      <w:pPr>
        <w:pStyle w:val="12"/>
        <w:jc w:val="left"/>
      </w:pPr>
    </w:p>
    <w:p>
      <w:pPr>
        <w:pStyle w:val="12"/>
        <w:jc w:val="left"/>
      </w:pPr>
      <w:r>
        <w:t>合同编号：</w:t>
      </w:r>
    </w:p>
    <w:p>
      <w:pPr>
        <w:pStyle w:val="12"/>
        <w:jc w:val="center"/>
        <w:outlineLvl w:val="1"/>
      </w:pPr>
      <w:r>
        <w:rPr>
          <w:b/>
          <w:sz w:val="36"/>
        </w:rPr>
        <w:t>福建省政府采购合同（货物类）</w:t>
      </w:r>
    </w:p>
    <w:p>
      <w:pPr>
        <w:pStyle w:val="12"/>
        <w:jc w:val="center"/>
        <w:outlineLvl w:val="3"/>
      </w:pPr>
      <w:r>
        <w:rPr>
          <w:b/>
          <w:sz w:val="24"/>
        </w:rPr>
        <w:t>编制说明</w:t>
      </w:r>
      <w:r>
        <w:br w:type="textWrapping"/>
      </w:r>
    </w:p>
    <w:p>
      <w:pPr>
        <w:pStyle w:val="12"/>
        <w:jc w:val="left"/>
        <w:outlineLvl w:val="3"/>
      </w:pPr>
      <w:r>
        <w:rPr>
          <w:b/>
          <w:sz w:val="24"/>
        </w:rPr>
        <w:t>1.签订合同应遵守《中华人民共和国政府采购法》及其实施条例、《中华人民共和国民法典》等法律法规及其他有关规定。</w:t>
      </w:r>
    </w:p>
    <w:p>
      <w:pPr>
        <w:pStyle w:val="12"/>
        <w:jc w:val="left"/>
        <w:outlineLvl w:val="3"/>
      </w:pPr>
      <w:r>
        <w:rPr>
          <w:b/>
          <w:sz w:val="24"/>
        </w:rPr>
        <w:t>2.签订合同时，采购人与中标(成交)人应结合采购文件规定填列相应内容。采购文件已有约定的，双方均不得对约定进行变更或调整；采购文件未作规定的，双方可通过友好协商进行约定。</w:t>
      </w:r>
    </w:p>
    <w:p>
      <w:pPr>
        <w:pStyle w:val="12"/>
        <w:jc w:val="left"/>
        <w:outlineLvl w:val="3"/>
      </w:pPr>
      <w:r>
        <w:rPr>
          <w:b/>
          <w:sz w:val="24"/>
        </w:rPr>
        <w:t>3.政府有关主管部门对若干合同有规范文本的，可使用相应合同文本。</w:t>
      </w:r>
    </w:p>
    <w:p>
      <w:pPr>
        <w:pStyle w:val="12"/>
        <w:jc w:val="left"/>
        <w:outlineLvl w:val="3"/>
      </w:pPr>
      <w:r>
        <w:rPr>
          <w:b/>
          <w:sz w:val="24"/>
        </w:rPr>
        <w:t>4.本合同范本仅供参考，采购人应当根据采购项目的实际需求对合同条款进行修改、补充。</w:t>
      </w:r>
    </w:p>
    <w:p>
      <w:pPr>
        <w:pStyle w:val="12"/>
        <w:ind w:left="0"/>
        <w:jc w:val="left"/>
      </w:pPr>
    </w:p>
    <w:p>
      <w:pPr>
        <w:pStyle w:val="12"/>
        <w:jc w:val="left"/>
      </w:pPr>
      <w:r>
        <w:t>甲方：___________</w:t>
      </w:r>
    </w:p>
    <w:p>
      <w:pPr>
        <w:pStyle w:val="12"/>
        <w:jc w:val="left"/>
      </w:pPr>
      <w:r>
        <w:t>住所地：___________</w:t>
      </w:r>
    </w:p>
    <w:p>
      <w:pPr>
        <w:pStyle w:val="12"/>
        <w:jc w:val="left"/>
      </w:pPr>
      <w:r>
        <w:t>联系人：___________</w:t>
      </w:r>
    </w:p>
    <w:p>
      <w:pPr>
        <w:pStyle w:val="12"/>
        <w:jc w:val="left"/>
      </w:pPr>
      <w:r>
        <w:t>联系电话：___________</w:t>
      </w:r>
    </w:p>
    <w:p>
      <w:pPr>
        <w:pStyle w:val="12"/>
        <w:jc w:val="left"/>
      </w:pPr>
      <w:r>
        <w:t>传真：___________</w:t>
      </w:r>
    </w:p>
    <w:p>
      <w:pPr>
        <w:pStyle w:val="12"/>
        <w:jc w:val="left"/>
      </w:pPr>
      <w:r>
        <w:t>电子邮箱：___________</w:t>
      </w:r>
      <w:r>
        <w:br w:type="textWrapping"/>
      </w:r>
    </w:p>
    <w:p>
      <w:pPr>
        <w:pStyle w:val="12"/>
        <w:ind w:left="0"/>
        <w:jc w:val="left"/>
      </w:pPr>
    </w:p>
    <w:p>
      <w:pPr>
        <w:pStyle w:val="12"/>
        <w:jc w:val="left"/>
      </w:pPr>
      <w:r>
        <w:t>乙方：___________</w:t>
      </w:r>
    </w:p>
    <w:p>
      <w:pPr>
        <w:pStyle w:val="12"/>
        <w:jc w:val="left"/>
      </w:pPr>
      <w:r>
        <w:t>住所地：___________</w:t>
      </w:r>
    </w:p>
    <w:p>
      <w:pPr>
        <w:pStyle w:val="12"/>
        <w:jc w:val="left"/>
      </w:pPr>
      <w:r>
        <w:t>联系人：___________</w:t>
      </w:r>
    </w:p>
    <w:p>
      <w:pPr>
        <w:pStyle w:val="12"/>
        <w:jc w:val="left"/>
      </w:pPr>
      <w:r>
        <w:t>联系电话：___________</w:t>
      </w:r>
    </w:p>
    <w:p>
      <w:pPr>
        <w:pStyle w:val="12"/>
        <w:jc w:val="left"/>
      </w:pPr>
      <w:r>
        <w:t>传真：___________</w:t>
      </w:r>
    </w:p>
    <w:p>
      <w:pPr>
        <w:pStyle w:val="12"/>
        <w:jc w:val="left"/>
      </w:pPr>
      <w:r>
        <w:t>电子邮箱：___________</w:t>
      </w:r>
    </w:p>
    <w:p>
      <w:pPr>
        <w:pStyle w:val="12"/>
        <w:jc w:val="left"/>
      </w:pPr>
      <w:r>
        <w:t>根据项目编号为________的___________项目（以下简称：“本项目”）的采购结果，遵循平等、自愿、公平和诚实信用的原则，双方签署本合同，具体内容如下：</w:t>
      </w:r>
    </w:p>
    <w:p>
      <w:pPr>
        <w:pStyle w:val="12"/>
        <w:jc w:val="left"/>
        <w:outlineLvl w:val="3"/>
      </w:pPr>
      <w:r>
        <w:rPr>
          <w:b/>
          <w:sz w:val="24"/>
        </w:rPr>
        <w:t>一、合同组成部分</w:t>
      </w:r>
    </w:p>
    <w:p>
      <w:pPr>
        <w:pStyle w:val="12"/>
        <w:jc w:val="left"/>
      </w:pPr>
      <w:r>
        <w:t>1.1本合同条款及附件；</w:t>
      </w:r>
    </w:p>
    <w:p>
      <w:pPr>
        <w:pStyle w:val="12"/>
        <w:jc w:val="left"/>
      </w:pPr>
      <w:r>
        <w:t>1.2采购文件及其附件、补充文件；</w:t>
      </w:r>
    </w:p>
    <w:p>
      <w:pPr>
        <w:pStyle w:val="12"/>
        <w:jc w:val="left"/>
      </w:pPr>
      <w:r>
        <w:t>1.3乙方的响应文件及其附件、补充文件；</w:t>
      </w:r>
    </w:p>
    <w:p>
      <w:pPr>
        <w:pStyle w:val="12"/>
        <w:jc w:val="left"/>
      </w:pPr>
      <w:r>
        <w:t>1.4其他文件或材料：</w:t>
      </w:r>
    </w:p>
    <w:p>
      <w:pPr>
        <w:pStyle w:val="12"/>
        <w:jc w:val="left"/>
        <w:outlineLvl w:val="3"/>
      </w:pPr>
      <w:r>
        <w:rPr>
          <w:b/>
          <w:sz w:val="24"/>
        </w:rPr>
        <w:t>二、合同标的</w:t>
      </w:r>
      <w:r>
        <w:br w:type="textWrapping"/>
      </w:r>
    </w:p>
    <w:p>
      <w:pPr>
        <w:pStyle w:val="12"/>
        <w:jc w:val="left"/>
        <w:outlineLvl w:val="3"/>
      </w:pPr>
      <w:r>
        <w:rPr>
          <w:b/>
          <w:sz w:val="24"/>
        </w:rPr>
        <w:t>三、合同金额</w:t>
      </w:r>
    </w:p>
    <w:p>
      <w:pPr>
        <w:pStyle w:val="12"/>
        <w:jc w:val="left"/>
      </w:pPr>
      <w:r>
        <w:t>3.1合同总价：人民币（大写）_________元（￥_________元）；</w:t>
      </w:r>
    </w:p>
    <w:p>
      <w:pPr>
        <w:pStyle w:val="12"/>
        <w:jc w:val="left"/>
      </w:pPr>
      <w:r>
        <w:t>3.2合同总价组成：___________；</w:t>
      </w:r>
    </w:p>
    <w:p>
      <w:pPr>
        <w:pStyle w:val="12"/>
        <w:jc w:val="left"/>
      </w:pPr>
      <w:r>
        <w:t>3.3其他需说明事项：___________；</w:t>
      </w:r>
    </w:p>
    <w:p>
      <w:pPr>
        <w:pStyle w:val="12"/>
        <w:jc w:val="left"/>
        <w:outlineLvl w:val="3"/>
      </w:pPr>
      <w:r>
        <w:rPr>
          <w:b/>
          <w:sz w:val="24"/>
        </w:rPr>
        <w:t>四、合同标的交付</w:t>
      </w:r>
    </w:p>
    <w:p>
      <w:pPr>
        <w:pStyle w:val="12"/>
        <w:jc w:val="left"/>
      </w:pPr>
      <w:r>
        <w:t>4.1交付时间：___________</w:t>
      </w:r>
    </w:p>
    <w:p>
      <w:pPr>
        <w:pStyle w:val="12"/>
        <w:jc w:val="left"/>
      </w:pPr>
      <w:r>
        <w:t>4.2交付地点：___________</w:t>
      </w:r>
    </w:p>
    <w:p>
      <w:pPr>
        <w:pStyle w:val="12"/>
        <w:jc w:val="left"/>
      </w:pPr>
      <w:r>
        <w:t>4.3交付条件：___________</w:t>
      </w:r>
    </w:p>
    <w:p>
      <w:pPr>
        <w:pStyle w:val="12"/>
        <w:jc w:val="left"/>
      </w:pPr>
      <w:r>
        <w:t>4.4供货要求：</w:t>
      </w:r>
    </w:p>
    <w:p>
      <w:pPr>
        <w:pStyle w:val="12"/>
        <w:jc w:val="left"/>
      </w:pPr>
      <w: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pPr>
        <w:pStyle w:val="12"/>
        <w:jc w:val="left"/>
      </w:pPr>
      <w:r>
        <w:t>(2)乙方提供的全部货物均应采用标准保护措施进行包装，除采购文件中的采购需求另有要求外，乙方所提供的货物包装应当参照财政部办公厅等联合印发的《关于印发&lt;商品包装政府采购需求标准（试行）&gt;         &lt;快递包装政府采购需求标准（试行）&gt;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pPr>
        <w:pStyle w:val="12"/>
        <w:jc w:val="left"/>
      </w:pPr>
      <w: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12"/>
        <w:jc w:val="left"/>
      </w:pPr>
      <w:r>
        <w:t>若乙方提供的采购标的不符合国家知识产权法律、法规的规定或被有关主管机关认定为假冒伪劣品，则乙方中标或成交资格将被取消；甲方还将按照有关法律、法规和规章的规定进行处理，具体如下：</w:t>
      </w:r>
    </w:p>
    <w:p>
      <w:pPr>
        <w:pStyle w:val="12"/>
        <w:jc w:val="left"/>
      </w:pPr>
      <w:r>
        <w:t>（4）其他供货要求：</w:t>
      </w:r>
    </w:p>
    <w:p>
      <w:pPr>
        <w:pStyle w:val="12"/>
        <w:jc w:val="left"/>
        <w:outlineLvl w:val="3"/>
      </w:pPr>
      <w:r>
        <w:rPr>
          <w:b/>
          <w:sz w:val="24"/>
        </w:rPr>
        <w:t>五、质量标准及要求</w:t>
      </w:r>
    </w:p>
    <w:p>
      <w:pPr>
        <w:pStyle w:val="12"/>
        <w:jc w:val="left"/>
      </w:pPr>
      <w:r>
        <w:t>5.1质量标准及要求</w:t>
      </w:r>
    </w:p>
    <w:p>
      <w:pPr>
        <w:pStyle w:val="12"/>
        <w:jc w:val="left"/>
      </w:pPr>
      <w: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pPr>
        <w:pStyle w:val="12"/>
        <w:jc w:val="left"/>
      </w:pPr>
      <w:r>
        <w:t>（2）其他质量要求</w:t>
      </w:r>
    </w:p>
    <w:p>
      <w:pPr>
        <w:pStyle w:val="12"/>
        <w:jc w:val="left"/>
      </w:pPr>
      <w:r>
        <w:t>5.2节能环保产品要求</w:t>
      </w:r>
    </w:p>
    <w:p>
      <w:pPr>
        <w:pStyle w:val="12"/>
        <w:jc w:val="left"/>
      </w:pPr>
      <w:r>
        <w:t>5.3质量保证范围、质量保证期及售后服务</w:t>
      </w:r>
    </w:p>
    <w:p>
      <w:pPr>
        <w:pStyle w:val="12"/>
        <w:jc w:val="left"/>
      </w:pPr>
      <w:r>
        <w:t>（1）质量保证范围：___________</w:t>
      </w:r>
    </w:p>
    <w:p>
      <w:pPr>
        <w:pStyle w:val="12"/>
        <w:jc w:val="left"/>
      </w:pPr>
      <w:r>
        <w:t>（2）本合同乙方所供应的货物质量保证期自验收合格之日起{_______月。</w:t>
      </w:r>
    </w:p>
    <w:p>
      <w:pPr>
        <w:pStyle w:val="12"/>
        <w:jc w:val="left"/>
      </w:pPr>
      <w:r>
        <w:t>（3）售后服务应按法律法规和采购文件约定执行，具体如下：</w:t>
      </w:r>
    </w:p>
    <w:p>
      <w:pPr>
        <w:pStyle w:val="12"/>
        <w:jc w:val="left"/>
      </w:pPr>
      <w:r>
        <w:t>5.4商品安全责任</w:t>
      </w:r>
    </w:p>
    <w:p>
      <w:pPr>
        <w:pStyle w:val="12"/>
        <w:jc w:val="left"/>
      </w:pPr>
      <w:r>
        <w:t>商品安全责任应按照法律法规和采购文件的规定执行，具体如下：</w:t>
      </w:r>
    </w:p>
    <w:p>
      <w:pPr>
        <w:pStyle w:val="12"/>
        <w:jc w:val="left"/>
        <w:outlineLvl w:val="3"/>
      </w:pPr>
      <w:r>
        <w:rPr>
          <w:b/>
          <w:sz w:val="24"/>
        </w:rPr>
        <w:t>六、安装调试、验收及退、换货</w:t>
      </w:r>
    </w:p>
    <w:p>
      <w:pPr>
        <w:pStyle w:val="12"/>
        <w:jc w:val="left"/>
      </w:pPr>
      <w:r>
        <w:t>6.1安装调试、验收应按照采购文件、乙方响应文件的规定或约定进行，具体如下：</w:t>
      </w:r>
    </w:p>
    <w:p>
      <w:pPr>
        <w:pStyle w:val="12"/>
        <w:jc w:val="left"/>
      </w:pPr>
      <w:r>
        <w:t>6.2本项目是否邀请其他投标人参与验收：</w:t>
      </w:r>
    </w:p>
    <w:p>
      <w:pPr>
        <w:pStyle w:val="12"/>
        <w:jc w:val="left"/>
      </w:pPr>
    </w:p>
    <w:p>
      <w:pPr>
        <w:pStyle w:val="12"/>
        <w:spacing w:line="300" w:lineRule="auto"/>
        <w:jc w:val="left"/>
      </w:pPr>
      <w:r>
        <w:t>不邀请。邀请，具体如下：</w:t>
      </w:r>
    </w:p>
    <w:p>
      <w:pPr>
        <w:pStyle w:val="12"/>
        <w:jc w:val="left"/>
      </w:pPr>
      <w:r>
        <w:t>6.3本项目是否邀请评审专家参与验收：</w:t>
      </w:r>
    </w:p>
    <w:p>
      <w:pPr>
        <w:pStyle w:val="12"/>
        <w:jc w:val="left"/>
      </w:pPr>
    </w:p>
    <w:p>
      <w:pPr>
        <w:pStyle w:val="12"/>
        <w:spacing w:line="300" w:lineRule="auto"/>
        <w:jc w:val="left"/>
      </w:pPr>
      <w:r>
        <w:t>不邀请。邀请，具体如下：</w:t>
      </w:r>
    </w:p>
    <w:p>
      <w:pPr>
        <w:pStyle w:val="12"/>
        <w:jc w:val="left"/>
      </w:pPr>
      <w:r>
        <w:t>6.4本项目是否邀请国家认可的质量检测机构参与验收：</w:t>
      </w:r>
    </w:p>
    <w:p>
      <w:pPr>
        <w:pStyle w:val="12"/>
        <w:jc w:val="left"/>
      </w:pPr>
    </w:p>
    <w:p>
      <w:pPr>
        <w:pStyle w:val="12"/>
        <w:spacing w:line="300" w:lineRule="auto"/>
        <w:jc w:val="left"/>
      </w:pPr>
      <w:r>
        <w:t>不邀请。邀请，具体如下：</w:t>
      </w:r>
    </w:p>
    <w:p>
      <w:pPr>
        <w:pStyle w:val="12"/>
        <w:jc w:val="left"/>
      </w:pPr>
      <w:r>
        <w:t>6.5履约验收：___________</w:t>
      </w:r>
    </w:p>
    <w:p>
      <w:pPr>
        <w:pStyle w:val="12"/>
        <w:jc w:val="left"/>
      </w:pPr>
      <w:r>
        <w:t>6.6退、换货：___________</w:t>
      </w:r>
    </w:p>
    <w:p>
      <w:pPr>
        <w:pStyle w:val="12"/>
        <w:jc w:val="left"/>
      </w:pPr>
      <w:r>
        <w:t>6.7其他：</w:t>
      </w:r>
    </w:p>
    <w:p>
      <w:pPr>
        <w:pStyle w:val="12"/>
        <w:jc w:val="left"/>
        <w:outlineLvl w:val="3"/>
      </w:pPr>
      <w:r>
        <w:rPr>
          <w:b/>
          <w:sz w:val="24"/>
        </w:rPr>
        <w:t>七、资金支付方式、条件和时间</w:t>
      </w:r>
      <w:r>
        <w:br w:type="textWrapping"/>
      </w:r>
    </w:p>
    <w:p>
      <w:pPr>
        <w:pStyle w:val="12"/>
        <w:jc w:val="left"/>
        <w:outlineLvl w:val="3"/>
      </w:pPr>
      <w:r>
        <w:rPr>
          <w:b/>
          <w:sz w:val="24"/>
        </w:rPr>
        <w:t>八、履约保证金</w:t>
      </w:r>
    </w:p>
    <w:p>
      <w:pPr>
        <w:pStyle w:val="12"/>
        <w:jc w:val="left"/>
      </w:pPr>
      <w:r>
        <w:t>□有，□无。具体如下违约：（按照采购文件规定填写）。</w:t>
      </w:r>
    </w:p>
    <w:p>
      <w:pPr>
        <w:pStyle w:val="12"/>
        <w:jc w:val="left"/>
      </w:pPr>
      <w:r>
        <w:t>8.1乙方向甲方缴纳人民币 元（大写： ）作为本合同的履约保证金。</w:t>
      </w:r>
    </w:p>
    <w:p>
      <w:pPr>
        <w:pStyle w:val="12"/>
        <w:jc w:val="left"/>
      </w:pPr>
      <w:r>
        <w:t>8.2履约保证金缴纳形式：支票/汇票/电汇/保函等非现金形式。</w:t>
      </w:r>
    </w:p>
    <w:p>
      <w:pPr>
        <w:pStyle w:val="12"/>
        <w:jc w:val="left"/>
      </w:pPr>
      <w:r>
        <w:t>8.3履约保证金退还： （根据实际情况填写） 。</w:t>
      </w:r>
    </w:p>
    <w:p>
      <w:pPr>
        <w:pStyle w:val="12"/>
        <w:jc w:val="left"/>
        <w:outlineLvl w:val="3"/>
      </w:pPr>
      <w:r>
        <w:rPr>
          <w:b/>
          <w:sz w:val="24"/>
        </w:rPr>
        <w:t>九、合同期限</w:t>
      </w:r>
      <w:r>
        <w:br w:type="textWrapping"/>
      </w:r>
    </w:p>
    <w:p>
      <w:pPr>
        <w:pStyle w:val="12"/>
        <w:jc w:val="left"/>
        <w:outlineLvl w:val="3"/>
      </w:pPr>
      <w:r>
        <w:rPr>
          <w:b/>
          <w:sz w:val="24"/>
        </w:rPr>
        <w:t>十、违约责任</w:t>
      </w:r>
    </w:p>
    <w:p>
      <w:pPr>
        <w:pStyle w:val="12"/>
        <w:jc w:val="left"/>
      </w:pPr>
      <w:r>
        <w:t>10.1甲方违约责任</w:t>
      </w:r>
    </w:p>
    <w:p>
      <w:pPr>
        <w:pStyle w:val="12"/>
        <w:jc w:val="left"/>
      </w:pPr>
      <w:r>
        <w:t>（1）甲方无正当理由拒收乙方交付的合格产品的，甲方向乙方偿付拒收货款总值_____的违约金</w:t>
      </w:r>
    </w:p>
    <w:p>
      <w:pPr>
        <w:pStyle w:val="12"/>
        <w:jc w:val="left"/>
      </w:pPr>
      <w:r>
        <w:t>甲方无故逾期验收和办理合同款项支付手续的,甲方应按逾期付款总额每日_______向乙方支付违约金。</w:t>
      </w:r>
    </w:p>
    <w:p>
      <w:pPr>
        <w:pStyle w:val="12"/>
        <w:jc w:val="left"/>
      </w:pPr>
      <w:r>
        <w:t>（3）其他违约情形</w:t>
      </w:r>
    </w:p>
    <w:p>
      <w:pPr>
        <w:pStyle w:val="12"/>
        <w:jc w:val="left"/>
      </w:pPr>
      <w:r>
        <w:t>_______</w:t>
      </w:r>
    </w:p>
    <w:p>
      <w:pPr>
        <w:pStyle w:val="12"/>
        <w:jc w:val="left"/>
      </w:pPr>
      <w:r>
        <w:t>10.2乙方违约责任</w:t>
      </w:r>
    </w:p>
    <w:p>
      <w:pPr>
        <w:pStyle w:val="12"/>
        <w:jc w:val="left"/>
      </w:pPr>
      <w:r>
        <w:t>（1）乙方逾期履行服务的，乙方应按逾期交付总额每日_______向甲方支付违约金，由甲方从待付货款中扣除。乙方无正当理由逾期超过约定日期_______仍不能交付的，视为“乙方不按合同约定履约”；</w:t>
      </w:r>
    </w:p>
    <w:p>
      <w:pPr>
        <w:pStyle w:val="12"/>
        <w:jc w:val="left"/>
      </w:pPr>
      <w:r>
        <w:t>（2）乙方所交付的产品不符合合同规定及《采购文件》规定标准的，甲方有权拒收，乙方愿意更换产品但逾期交货的，按乙方逾期交货处理。乙方拒绝更换产品的，视为“乙方不按合同约定履约”；</w:t>
      </w:r>
    </w:p>
    <w:p>
      <w:pPr>
        <w:pStyle w:val="12"/>
        <w:jc w:val="left"/>
      </w:pPr>
      <w:r>
        <w:t>（3）乙方不按合同约定履约的，甲方可以解除采购合同，并对乙方已缴纳的履约保证金作“不予退还”处理。同时，乙方还须按向甲方支付违约金：</w:t>
      </w:r>
    </w:p>
    <w:p>
      <w:pPr>
        <w:pStyle w:val="12"/>
        <w:jc w:val="left"/>
      </w:pPr>
      <w:r>
        <w:t>（4）其他违约情形</w:t>
      </w:r>
    </w:p>
    <w:p>
      <w:pPr>
        <w:pStyle w:val="12"/>
        <w:jc w:val="left"/>
        <w:outlineLvl w:val="3"/>
      </w:pPr>
      <w:r>
        <w:rPr>
          <w:b/>
          <w:sz w:val="24"/>
        </w:rPr>
        <w:t>十一、不可抗力事件处理</w:t>
      </w:r>
    </w:p>
    <w:p>
      <w:pPr>
        <w:pStyle w:val="12"/>
        <w:jc w:val="left"/>
      </w:pPr>
      <w: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12"/>
        <w:jc w:val="left"/>
        <w:outlineLvl w:val="3"/>
      </w:pPr>
      <w:r>
        <w:rPr>
          <w:b/>
          <w:sz w:val="24"/>
        </w:rPr>
        <w:t>十二、保密条款</w:t>
      </w:r>
    </w:p>
    <w:p>
      <w:pPr>
        <w:pStyle w:val="12"/>
        <w:jc w:val="left"/>
      </w:pPr>
      <w:r>
        <w:t>12.1对于在采购和合同履行过程中所获悉的属于保密的内容，甲、乙双方均负有保密义务。</w:t>
      </w:r>
    </w:p>
    <w:p>
      <w:pPr>
        <w:pStyle w:val="12"/>
        <w:jc w:val="left"/>
      </w:pPr>
      <w:r>
        <w:t>12.2其他</w:t>
      </w:r>
    </w:p>
    <w:p>
      <w:pPr>
        <w:pStyle w:val="12"/>
        <w:jc w:val="left"/>
        <w:outlineLvl w:val="3"/>
      </w:pPr>
      <w:r>
        <w:rPr>
          <w:b/>
          <w:sz w:val="24"/>
        </w:rPr>
        <w:t>十三、解决争议的方法</w:t>
      </w:r>
    </w:p>
    <w:p>
      <w:pPr>
        <w:pStyle w:val="12"/>
        <w:jc w:val="left"/>
      </w:pPr>
      <w:r>
        <w:t>13.1甲、乙双方协商解决。</w:t>
      </w:r>
    </w:p>
    <w:p>
      <w:pPr>
        <w:pStyle w:val="12"/>
        <w:jc w:val="left"/>
      </w:pPr>
      <w:r>
        <w:t>13.2若协商解决不成，则通过下列途径之一解决：</w:t>
      </w:r>
    </w:p>
    <w:p>
      <w:pPr>
        <w:pStyle w:val="12"/>
        <w:jc w:val="left"/>
      </w:pPr>
    </w:p>
    <w:p>
      <w:pPr>
        <w:pStyle w:val="12"/>
        <w:spacing w:line="300" w:lineRule="auto"/>
        <w:jc w:val="left"/>
      </w:pPr>
      <w:r>
        <w:t>提交仲裁委员会仲裁，具体如下：</w:t>
      </w:r>
    </w:p>
    <w:p>
      <w:pPr>
        <w:pStyle w:val="12"/>
        <w:spacing w:line="300" w:lineRule="auto"/>
        <w:jc w:val="left"/>
      </w:pPr>
      <w:r>
        <w:t>向人民法院提起诉讼，具体如下：</w:t>
      </w:r>
    </w:p>
    <w:p>
      <w:pPr>
        <w:pStyle w:val="12"/>
        <w:jc w:val="left"/>
        <w:outlineLvl w:val="3"/>
      </w:pPr>
      <w:r>
        <w:rPr>
          <w:b/>
          <w:sz w:val="24"/>
        </w:rPr>
        <w:t>十四、合同其他条款</w:t>
      </w:r>
      <w:r>
        <w:br w:type="textWrapping"/>
      </w:r>
    </w:p>
    <w:p>
      <w:pPr>
        <w:pStyle w:val="12"/>
        <w:jc w:val="left"/>
        <w:outlineLvl w:val="3"/>
      </w:pPr>
      <w:r>
        <w:rPr>
          <w:b/>
          <w:sz w:val="24"/>
        </w:rPr>
        <w:t>十五、其他约定</w:t>
      </w:r>
    </w:p>
    <w:p>
      <w:pPr>
        <w:pStyle w:val="12"/>
        <w:jc w:val="left"/>
      </w:pPr>
      <w:r>
        <w:t>15.1合同文件与本合同具有同等法律效力。</w:t>
      </w:r>
    </w:p>
    <w:p>
      <w:pPr>
        <w:pStyle w:val="12"/>
        <w:jc w:val="left"/>
      </w:pPr>
      <w:r>
        <w:t>15.2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w:t>
      </w:r>
    </w:p>
    <w:p>
      <w:pPr>
        <w:pStyle w:val="12"/>
        <w:jc w:val="left"/>
      </w:pPr>
      <w:r>
        <w:t>15.3本合同未尽事宜，遵照《中华人民共和国民法典》有关条文执行。</w:t>
      </w:r>
    </w:p>
    <w:p>
      <w:pPr>
        <w:pStyle w:val="12"/>
        <w:jc w:val="left"/>
      </w:pPr>
      <w:r>
        <w:t>15.4本合同正本一式_______份，具有同等法律效力，甲方、乙方各执_______份；副本_______份，_______</w:t>
      </w:r>
    </w:p>
    <w:p>
      <w:pPr>
        <w:pStyle w:val="12"/>
        <w:jc w:val="left"/>
      </w:pPr>
      <w:r>
        <w:t>15.5本合同已用于政府采购合同融资，为本项目提供合同融资的金融机构为：_______，甲乙双方应当按照融资合同的约定进行资金使用及款项支付。</w:t>
      </w:r>
    </w:p>
    <w:p>
      <w:pPr>
        <w:pStyle w:val="12"/>
        <w:jc w:val="left"/>
      </w:pPr>
      <w:r>
        <w:t>中标（成交）供应商应于采购合同签订之日起_______内，向发放政采贷的金融机构提交政府采购中标（成交）通知书和政府采购合同，贷款金额以政府采购合同金额为限。</w:t>
      </w:r>
    </w:p>
    <w:p>
      <w:pPr>
        <w:pStyle w:val="12"/>
        <w:jc w:val="left"/>
      </w:pPr>
      <w:r>
        <w:t>15.6其他</w:t>
      </w:r>
    </w:p>
    <w:p>
      <w:pPr>
        <w:pStyle w:val="12"/>
        <w:jc w:val="left"/>
        <w:outlineLvl w:val="3"/>
      </w:pPr>
      <w:r>
        <w:rPr>
          <w:b/>
          <w:sz w:val="24"/>
        </w:rPr>
        <w:t>十六、合同附件</w:t>
      </w:r>
      <w:r>
        <w:br w:type="textWrapping"/>
      </w:r>
      <w:r>
        <w:br w:type="textWrapping"/>
      </w:r>
    </w:p>
    <w:p>
      <w:pPr>
        <w:pStyle w:val="12"/>
        <w:jc w:val="left"/>
      </w:pPr>
    </w:p>
    <w:p>
      <w:pPr>
        <w:pStyle w:val="12"/>
        <w:jc w:val="left"/>
      </w:pPr>
    </w:p>
    <w:p>
      <w:pPr>
        <w:pStyle w:val="12"/>
        <w:jc w:val="left"/>
      </w:pPr>
      <w:r>
        <w:t>甲方（采购人）：</w:t>
      </w:r>
    </w:p>
    <w:p>
      <w:pPr>
        <w:pStyle w:val="12"/>
        <w:jc w:val="left"/>
      </w:pPr>
      <w:r>
        <w:t>法定（授权）代表人：</w:t>
      </w:r>
    </w:p>
    <w:p>
      <w:pPr>
        <w:pStyle w:val="12"/>
        <w:jc w:val="left"/>
      </w:pPr>
      <w:r>
        <w:t>纳税人识别号：</w:t>
      </w:r>
    </w:p>
    <w:p>
      <w:pPr>
        <w:pStyle w:val="12"/>
        <w:jc w:val="left"/>
      </w:pPr>
      <w:r>
        <w:t>开户银行：</w:t>
      </w:r>
    </w:p>
    <w:p>
      <w:pPr>
        <w:pStyle w:val="12"/>
        <w:jc w:val="left"/>
      </w:pPr>
      <w:r>
        <w:t>账号：</w:t>
      </w:r>
    </w:p>
    <w:p>
      <w:pPr>
        <w:pStyle w:val="12"/>
        <w:jc w:val="left"/>
      </w:pPr>
    </w:p>
    <w:p>
      <w:pPr>
        <w:pStyle w:val="12"/>
        <w:spacing w:after="375"/>
        <w:jc w:val="left"/>
      </w:pPr>
    </w:p>
    <w:p>
      <w:pPr>
        <w:pStyle w:val="12"/>
        <w:jc w:val="left"/>
      </w:pPr>
      <w:r>
        <w:t>乙方（中标或成交人）：</w:t>
      </w:r>
    </w:p>
    <w:p>
      <w:pPr>
        <w:pStyle w:val="12"/>
        <w:jc w:val="left"/>
      </w:pPr>
      <w:r>
        <w:t>法定（授权）代表人：</w:t>
      </w:r>
    </w:p>
    <w:p>
      <w:pPr>
        <w:pStyle w:val="12"/>
        <w:jc w:val="left"/>
      </w:pPr>
      <w:r>
        <w:t>纳税人识别号：</w:t>
      </w:r>
    </w:p>
    <w:p>
      <w:pPr>
        <w:pStyle w:val="12"/>
        <w:jc w:val="left"/>
      </w:pPr>
      <w:r>
        <w:t>开户银行：</w:t>
      </w:r>
    </w:p>
    <w:p>
      <w:pPr>
        <w:pStyle w:val="12"/>
        <w:jc w:val="left"/>
      </w:pPr>
      <w:r>
        <w:t>账号：</w:t>
      </w:r>
    </w:p>
    <w:p>
      <w:pPr>
        <w:pStyle w:val="12"/>
        <w:jc w:val="left"/>
      </w:pPr>
    </w:p>
    <w:p>
      <w:pPr>
        <w:pStyle w:val="12"/>
        <w:jc w:val="left"/>
      </w:pPr>
      <w:r>
        <w:t>签订地点：__________</w:t>
      </w:r>
    </w:p>
    <w:p>
      <w:pPr>
        <w:pStyle w:val="12"/>
        <w:jc w:val="left"/>
      </w:pPr>
      <w:r>
        <w:t>签订日期：___年___月___日</w:t>
      </w:r>
    </w:p>
    <w:p>
      <w:pPr>
        <w:pStyle w:val="12"/>
        <w:jc w:val="both"/>
      </w:pPr>
    </w:p>
    <w:p>
      <w:pPr>
        <w:pStyle w:val="12"/>
        <w:jc w:val="both"/>
      </w:pPr>
      <w:r>
        <w:t xml:space="preserve"> </w:t>
      </w:r>
    </w:p>
    <w:p>
      <w:pPr>
        <w:pStyle w:val="12"/>
        <w:jc w:val="center"/>
        <w:outlineLvl w:val="1"/>
      </w:pPr>
      <w:r>
        <w:rPr>
          <w:b/>
          <w:sz w:val="36"/>
        </w:rPr>
        <w:t>第七章 电子投标文件格式</w:t>
      </w:r>
    </w:p>
    <w:p>
      <w:pPr>
        <w:pStyle w:val="12"/>
        <w:jc w:val="center"/>
        <w:outlineLvl w:val="2"/>
      </w:pPr>
      <w:r>
        <w:rPr>
          <w:b/>
          <w:sz w:val="28"/>
        </w:rPr>
        <w:t>编制说明</w:t>
      </w:r>
    </w:p>
    <w:p>
      <w:pPr>
        <w:pStyle w:val="12"/>
        <w:ind w:firstLine="480"/>
        <w:jc w:val="both"/>
      </w:pPr>
      <w:r>
        <w:t>1、除招标文件另有规定外，本章中：</w:t>
      </w:r>
    </w:p>
    <w:p>
      <w:pPr>
        <w:pStyle w:val="12"/>
        <w:ind w:firstLine="480"/>
        <w:jc w:val="both"/>
      </w:pPr>
      <w:r>
        <w:t>1.1涉及投标人的“全称”：</w:t>
      </w:r>
    </w:p>
    <w:p>
      <w:pPr>
        <w:pStyle w:val="12"/>
        <w:ind w:firstLine="480"/>
        <w:jc w:val="both"/>
      </w:pPr>
      <w:r>
        <w:t>（1）不接受联合体投标的，指投标人的全称。</w:t>
      </w:r>
    </w:p>
    <w:p>
      <w:pPr>
        <w:pStyle w:val="12"/>
        <w:ind w:firstLine="480"/>
        <w:jc w:val="both"/>
      </w:pPr>
      <w:r>
        <w:t>（2）接受联合体投标且投标人为联合体的，指牵头方的全称并加注（联合体牵头方），即应表述为：“牵头方的全称（联合体牵头方）”。</w:t>
      </w:r>
    </w:p>
    <w:p>
      <w:pPr>
        <w:pStyle w:val="12"/>
        <w:ind w:firstLine="480"/>
        <w:jc w:val="both"/>
      </w:pPr>
      <w:r>
        <w:t>1.2涉及投标人“加盖单位公章”：</w:t>
      </w:r>
    </w:p>
    <w:p>
      <w:pPr>
        <w:pStyle w:val="12"/>
        <w:ind w:firstLine="480"/>
        <w:jc w:val="both"/>
      </w:pPr>
      <w:r>
        <w:t>（1）不接受联合体投标的，指加盖投标人的单位公章。</w:t>
      </w:r>
    </w:p>
    <w:p>
      <w:pPr>
        <w:pStyle w:val="12"/>
        <w:ind w:firstLine="480"/>
        <w:jc w:val="both"/>
      </w:pPr>
      <w:r>
        <w:t>（2）接受联合体投标且投标人为联合体的，指加盖联合体牵头方的单位公章。</w:t>
      </w:r>
    </w:p>
    <w:p>
      <w:pPr>
        <w:pStyle w:val="12"/>
        <w:ind w:firstLine="480"/>
        <w:jc w:val="both"/>
      </w:pPr>
      <w:r>
        <w:t>1.3涉及“投标人代表签字”：</w:t>
      </w:r>
    </w:p>
    <w:p>
      <w:pPr>
        <w:pStyle w:val="12"/>
        <w:ind w:firstLine="480"/>
        <w:jc w:val="both"/>
      </w:pPr>
      <w:r>
        <w:t>（1）不接受联合体投标的，指由投标人的单位负责人或其授权的委托代理人签字，由委托代理人签字的，应提供“单位授权书”。</w:t>
      </w:r>
    </w:p>
    <w:p>
      <w:pPr>
        <w:pStyle w:val="12"/>
        <w:ind w:firstLine="480"/>
        <w:jc w:val="both"/>
      </w:pPr>
      <w:r>
        <w:t>（2）接受联合体投标且投标人为联合体的，指由联合体牵头方的单位负责人或其授权的委托代理人签字，由委托代理人签字的，应提供“单位授权书”。</w:t>
      </w:r>
    </w:p>
    <w:p>
      <w:pPr>
        <w:pStyle w:val="12"/>
        <w:ind w:firstLine="480"/>
        <w:jc w:val="both"/>
      </w:pPr>
      <w:r>
        <w:t>1.4“其他组织”指合伙企业、非企业专业服务机构、个体工商户、农村承包经营户等。</w:t>
      </w:r>
    </w:p>
    <w:p>
      <w:pPr>
        <w:pStyle w:val="12"/>
        <w:ind w:firstLine="480"/>
        <w:jc w:val="both"/>
      </w:pPr>
      <w:r>
        <w:t>1.5“自然人”指具有完全民事行为能力、能够承担民事责任和义务的中国公民。</w:t>
      </w:r>
    </w:p>
    <w:p>
      <w:pPr>
        <w:pStyle w:val="12"/>
        <w:ind w:firstLine="480"/>
        <w:jc w:val="both"/>
      </w:pPr>
      <w:r>
        <w:t>2、除招标文件另有规定外，本章中“投标人的资格及资信证明文件”：</w:t>
      </w:r>
    </w:p>
    <w:p>
      <w:pPr>
        <w:pStyle w:val="12"/>
        <w:ind w:firstLine="480"/>
        <w:jc w:val="both"/>
      </w:pPr>
      <w:r>
        <w:t>2.1投标人应按照招标文件第四章第1.3条第（2）款规定及本章规定进行编制，如有必要，可增加附页，附页作为资格及资信文件的组成部分。</w:t>
      </w:r>
    </w:p>
    <w:p>
      <w:pPr>
        <w:pStyle w:val="12"/>
        <w:ind w:firstLine="480"/>
        <w:jc w:val="both"/>
      </w:pPr>
      <w:r>
        <w:t>2.2接受联合体投标且投标人为联合体的，联合体中的各方均应按照本章第2.1条规定提交相应的全部资料。</w:t>
      </w:r>
    </w:p>
    <w:p>
      <w:pPr>
        <w:pStyle w:val="12"/>
        <w:ind w:firstLine="480"/>
        <w:jc w:val="both"/>
      </w:pPr>
      <w:r>
        <w:t>3、投标人对电子投标文件的索引应编制页码。</w:t>
      </w:r>
    </w:p>
    <w:p>
      <w:pPr>
        <w:pStyle w:val="12"/>
        <w:ind w:firstLine="480"/>
        <w:jc w:val="both"/>
      </w:pPr>
      <w:r>
        <w:t>4、本章提供格式仅供参考，投标人应根据自身实际情况制作电子投标文件。</w:t>
      </w:r>
    </w:p>
    <w:p>
      <w:pPr>
        <w:pStyle w:val="12"/>
        <w:jc w:val="both"/>
      </w:pPr>
    </w:p>
    <w:p>
      <w:pPr>
        <w:pStyle w:val="12"/>
        <w:jc w:val="both"/>
      </w:pPr>
      <w:r>
        <w:t xml:space="preserve"> </w:t>
      </w:r>
    </w:p>
    <w:p>
      <w:pPr>
        <w:pStyle w:val="12"/>
        <w:jc w:val="center"/>
        <w:outlineLvl w:val="2"/>
      </w:pPr>
      <w:r>
        <w:rPr>
          <w:b/>
          <w:sz w:val="28"/>
        </w:rPr>
        <w:t>封面格式(资格及资信证明部分)</w:t>
      </w:r>
    </w:p>
    <w:p>
      <w:pPr>
        <w:pStyle w:val="12"/>
        <w:jc w:val="center"/>
        <w:outlineLvl w:val="0"/>
      </w:pPr>
      <w:r>
        <w:rPr>
          <w:b/>
          <w:sz w:val="48"/>
        </w:rPr>
        <w:t>福建省政府采购投标文件</w:t>
      </w:r>
    </w:p>
    <w:p>
      <w:pPr>
        <w:pStyle w:val="12"/>
        <w:jc w:val="center"/>
        <w:outlineLvl w:val="0"/>
      </w:pPr>
      <w:r>
        <w:rPr>
          <w:b/>
          <w:sz w:val="48"/>
        </w:rPr>
        <w:t>（资格及资信证明部分）</w:t>
      </w:r>
      <w:r>
        <w:br w:type="textWrapping"/>
      </w:r>
      <w:r>
        <w:br w:type="textWrapping"/>
      </w:r>
      <w:r>
        <w:br w:type="textWrapping"/>
      </w:r>
    </w:p>
    <w:p>
      <w:pPr>
        <w:pStyle w:val="12"/>
        <w:jc w:val="center"/>
        <w:outlineLvl w:val="1"/>
      </w:pPr>
      <w:r>
        <w:rPr>
          <w:b/>
          <w:sz w:val="36"/>
        </w:rPr>
        <w:t>（填写正本或副本）</w:t>
      </w:r>
      <w:r>
        <w:br w:type="textWrapping"/>
      </w:r>
      <w:r>
        <w:br w:type="textWrapping"/>
      </w:r>
      <w:r>
        <w:br w:type="textWrapping"/>
      </w:r>
      <w:r>
        <w:br w:type="textWrapping"/>
      </w:r>
      <w:r>
        <w:br w:type="textWrapping"/>
      </w:r>
    </w:p>
    <w:p>
      <w:pPr>
        <w:pStyle w:val="12"/>
        <w:jc w:val="center"/>
        <w:outlineLvl w:val="2"/>
      </w:pPr>
      <w:r>
        <w:rPr>
          <w:b/>
          <w:sz w:val="28"/>
        </w:rPr>
        <w:t>（项目名称：（由投标人填写）</w:t>
      </w:r>
    </w:p>
    <w:p>
      <w:pPr>
        <w:pStyle w:val="12"/>
        <w:jc w:val="center"/>
        <w:outlineLvl w:val="2"/>
      </w:pPr>
      <w:r>
        <w:rPr>
          <w:b/>
          <w:sz w:val="28"/>
        </w:rPr>
        <w:t>（备案编号：（由投标人填写）</w:t>
      </w:r>
    </w:p>
    <w:p>
      <w:pPr>
        <w:pStyle w:val="12"/>
        <w:jc w:val="center"/>
        <w:outlineLvl w:val="2"/>
      </w:pPr>
      <w:r>
        <w:rPr>
          <w:b/>
          <w:sz w:val="28"/>
        </w:rPr>
        <w:t>（项目编号：（由投标人填写）</w:t>
      </w:r>
    </w:p>
    <w:p>
      <w:pPr>
        <w:pStyle w:val="12"/>
        <w:jc w:val="center"/>
        <w:outlineLvl w:val="2"/>
      </w:pPr>
      <w:r>
        <w:rPr>
          <w:b/>
          <w:sz w:val="28"/>
        </w:rPr>
        <w:t>（所投采购包：（由投标人填写）</w:t>
      </w:r>
      <w:r>
        <w:br w:type="textWrapping"/>
      </w:r>
      <w:r>
        <w:br w:type="textWrapping"/>
      </w:r>
    </w:p>
    <w:p>
      <w:pPr>
        <w:pStyle w:val="12"/>
        <w:jc w:val="center"/>
        <w:outlineLvl w:val="2"/>
      </w:pPr>
      <w:r>
        <w:rPr>
          <w:b/>
          <w:sz w:val="28"/>
        </w:rPr>
        <w:t>投标人：（填写“全称”）</w:t>
      </w:r>
    </w:p>
    <w:p>
      <w:pPr>
        <w:pStyle w:val="12"/>
        <w:jc w:val="center"/>
        <w:outlineLvl w:val="2"/>
      </w:pPr>
      <w:r>
        <w:rPr>
          <w:b/>
          <w:sz w:val="28"/>
        </w:rPr>
        <w:t>（由投标人填写）年（由投标人填写）月</w:t>
      </w:r>
    </w:p>
    <w:p>
      <w:pPr>
        <w:pStyle w:val="12"/>
        <w:jc w:val="both"/>
      </w:pPr>
    </w:p>
    <w:p>
      <w:pPr>
        <w:pStyle w:val="12"/>
        <w:jc w:val="both"/>
      </w:pPr>
      <w:r>
        <w:t xml:space="preserve"> </w:t>
      </w:r>
    </w:p>
    <w:p>
      <w:pPr>
        <w:pStyle w:val="12"/>
        <w:jc w:val="center"/>
        <w:outlineLvl w:val="2"/>
      </w:pPr>
      <w:r>
        <w:rPr>
          <w:b/>
          <w:sz w:val="28"/>
        </w:rPr>
        <w:t>索引</w:t>
      </w:r>
    </w:p>
    <w:p>
      <w:pPr>
        <w:pStyle w:val="12"/>
        <w:ind w:firstLine="480"/>
        <w:jc w:val="both"/>
      </w:pPr>
      <w:r>
        <w:t>一、投标函</w:t>
      </w:r>
    </w:p>
    <w:p>
      <w:pPr>
        <w:pStyle w:val="12"/>
        <w:ind w:firstLine="480"/>
        <w:jc w:val="both"/>
      </w:pPr>
      <w:r>
        <w:t>二、投标人的资格及资信证明文件</w:t>
      </w:r>
    </w:p>
    <w:p>
      <w:pPr>
        <w:pStyle w:val="12"/>
        <w:ind w:firstLine="480"/>
        <w:jc w:val="both"/>
      </w:pPr>
      <w:r>
        <w:t>三、投标保证金</w:t>
      </w:r>
    </w:p>
    <w:p>
      <w:pPr>
        <w:pStyle w:val="12"/>
        <w:ind w:firstLine="480"/>
        <w:jc w:val="both"/>
      </w:pPr>
      <w:r>
        <w:t>※注意</w:t>
      </w:r>
    </w:p>
    <w:p>
      <w:pPr>
        <w:pStyle w:val="12"/>
        <w:ind w:firstLine="480"/>
        <w:jc w:val="both"/>
      </w:pPr>
      <w:r>
        <w:t>资格及资信证明部分中不得出现报价部分的全部或部分的投标报价信息（或组成资料），否则资格审查不合格。（联合体协议及分包意向协议中的比例规定，不适用本条款）</w:t>
      </w:r>
    </w:p>
    <w:p>
      <w:pPr>
        <w:pStyle w:val="12"/>
        <w:jc w:val="both"/>
      </w:pPr>
    </w:p>
    <w:p>
      <w:pPr>
        <w:pStyle w:val="12"/>
        <w:jc w:val="both"/>
      </w:pPr>
      <w:r>
        <w:t xml:space="preserve"> </w:t>
      </w:r>
    </w:p>
    <w:p>
      <w:pPr>
        <w:pStyle w:val="12"/>
        <w:jc w:val="center"/>
        <w:outlineLvl w:val="2"/>
      </w:pPr>
      <w:r>
        <w:rPr>
          <w:b/>
          <w:sz w:val="28"/>
        </w:rPr>
        <w:t>一、投标函</w:t>
      </w:r>
    </w:p>
    <w:p>
      <w:pPr>
        <w:pStyle w:val="12"/>
        <w:ind w:firstLine="480"/>
        <w:jc w:val="both"/>
      </w:pPr>
      <w:r>
        <w:t>致：</w:t>
      </w:r>
      <w:r>
        <w:rPr>
          <w:u w:val="single"/>
        </w:rPr>
        <w:t>（采购人或采购代理机构）</w:t>
      </w:r>
    </w:p>
    <w:p>
      <w:pPr>
        <w:pStyle w:val="12"/>
        <w:ind w:firstLine="480"/>
        <w:jc w:val="both"/>
      </w:pPr>
      <w:r>
        <w:t>兹收到贵单位关于</w:t>
      </w:r>
      <w:r>
        <w:rPr>
          <w:u w:val="single"/>
        </w:rPr>
        <w:t>（填写“项目名称”）</w:t>
      </w:r>
      <w:r>
        <w:t>项目</w:t>
      </w:r>
      <w:r>
        <w:rPr>
          <w:u w:val="single"/>
        </w:rPr>
        <w:t>（项目编号：　　　　　）</w:t>
      </w:r>
      <w:r>
        <w:t>的投标邀请，本投标人代表</w:t>
      </w:r>
      <w:r>
        <w:rPr>
          <w:u w:val="single"/>
        </w:rPr>
        <w:t>（填写“全名”）</w:t>
      </w:r>
      <w:r>
        <w:t>已获得我方正式授权并代表投标人（填写“全称”）参加投标，并提交电子投标文件。我方提交的全部电子投标文件由下述部分组成：</w:t>
      </w:r>
    </w:p>
    <w:p>
      <w:pPr>
        <w:pStyle w:val="12"/>
        <w:ind w:firstLine="480"/>
        <w:jc w:val="both"/>
      </w:pPr>
      <w:r>
        <w:t>（1）资格及资信证明部分</w:t>
      </w:r>
    </w:p>
    <w:p>
      <w:pPr>
        <w:pStyle w:val="12"/>
        <w:ind w:firstLine="480"/>
        <w:jc w:val="both"/>
      </w:pPr>
      <w:r>
        <w:t>①投标函</w:t>
      </w:r>
    </w:p>
    <w:p>
      <w:pPr>
        <w:pStyle w:val="12"/>
        <w:ind w:firstLine="480"/>
        <w:jc w:val="both"/>
      </w:pPr>
      <w:r>
        <w:t>②投标人的资格及资信证明文件</w:t>
      </w:r>
    </w:p>
    <w:p>
      <w:pPr>
        <w:pStyle w:val="12"/>
        <w:ind w:firstLine="480"/>
        <w:jc w:val="both"/>
      </w:pPr>
      <w:r>
        <w:t>③投标保证金</w:t>
      </w:r>
    </w:p>
    <w:p>
      <w:pPr>
        <w:pStyle w:val="12"/>
        <w:ind w:firstLine="480"/>
        <w:jc w:val="both"/>
      </w:pPr>
      <w:r>
        <w:t>（2）报价部分</w:t>
      </w:r>
    </w:p>
    <w:p>
      <w:pPr>
        <w:pStyle w:val="12"/>
        <w:ind w:firstLine="480"/>
        <w:jc w:val="both"/>
      </w:pPr>
      <w:r>
        <w:t>①开标一览表</w:t>
      </w:r>
    </w:p>
    <w:p>
      <w:pPr>
        <w:pStyle w:val="12"/>
        <w:ind w:firstLine="480"/>
        <w:jc w:val="both"/>
      </w:pPr>
      <w:r>
        <w:t>②投标分项报价表</w:t>
      </w:r>
    </w:p>
    <w:p>
      <w:pPr>
        <w:pStyle w:val="12"/>
        <w:ind w:firstLine="480"/>
        <w:jc w:val="both"/>
      </w:pPr>
      <w:r>
        <w:t>③招标文件规定的价格扣除证明材料（若有）</w:t>
      </w:r>
    </w:p>
    <w:p>
      <w:pPr>
        <w:pStyle w:val="12"/>
        <w:ind w:firstLine="480"/>
        <w:jc w:val="both"/>
      </w:pPr>
      <w:r>
        <w:t>④招标文件规定的加分证明材料（若有）</w:t>
      </w:r>
    </w:p>
    <w:p>
      <w:pPr>
        <w:pStyle w:val="12"/>
        <w:ind w:firstLine="480"/>
        <w:jc w:val="both"/>
      </w:pPr>
      <w:r>
        <w:t>（3）技术商务部分</w:t>
      </w:r>
    </w:p>
    <w:p>
      <w:pPr>
        <w:pStyle w:val="12"/>
        <w:ind w:firstLine="480"/>
        <w:jc w:val="both"/>
      </w:pPr>
      <w:r>
        <w:t>①标的说明一览表</w:t>
      </w:r>
    </w:p>
    <w:p>
      <w:pPr>
        <w:pStyle w:val="12"/>
        <w:ind w:firstLine="480"/>
        <w:jc w:val="both"/>
      </w:pPr>
      <w:r>
        <w:t>②技术和服务要求响应表</w:t>
      </w:r>
    </w:p>
    <w:p>
      <w:pPr>
        <w:pStyle w:val="12"/>
        <w:ind w:firstLine="480"/>
        <w:jc w:val="both"/>
      </w:pPr>
      <w:r>
        <w:t>③商务条件响应表</w:t>
      </w:r>
    </w:p>
    <w:p>
      <w:pPr>
        <w:pStyle w:val="12"/>
        <w:ind w:firstLine="480"/>
        <w:jc w:val="both"/>
      </w:pPr>
      <w:r>
        <w:t>④投标人提交的其他资料（若有）</w:t>
      </w:r>
    </w:p>
    <w:p>
      <w:pPr>
        <w:pStyle w:val="12"/>
        <w:ind w:firstLine="480"/>
        <w:jc w:val="both"/>
      </w:pPr>
      <w:r>
        <w:t>根据本函，本投标人代表宣布我方保证遵守招标文件的全部规定，同时：</w:t>
      </w:r>
    </w:p>
    <w:p>
      <w:pPr>
        <w:pStyle w:val="12"/>
        <w:ind w:firstLine="480"/>
        <w:jc w:val="both"/>
      </w:pPr>
      <w:r>
        <w:t>1、确认：</w:t>
      </w:r>
    </w:p>
    <w:p>
      <w:pPr>
        <w:pStyle w:val="12"/>
        <w:ind w:firstLine="480"/>
        <w:jc w:val="both"/>
      </w:pPr>
      <w:r>
        <w:t>1.1所投采购包的投标报价详见“开标一览表”及“投标分项报价表”。</w:t>
      </w:r>
    </w:p>
    <w:p>
      <w:pPr>
        <w:pStyle w:val="12"/>
        <w:ind w:firstLine="480"/>
        <w:jc w:val="both"/>
      </w:pPr>
      <w:r>
        <w:t>1.2我方已详细审查全部招标文件[包括但不限于：有关附件（若有）、澄清或修改（若有）等]，并自行承担因对全部招标文件理解不正确或误解而产生的相应后果和责任。</w:t>
      </w:r>
    </w:p>
    <w:p>
      <w:pPr>
        <w:pStyle w:val="12"/>
        <w:ind w:firstLine="480"/>
        <w:jc w:val="both"/>
      </w:pPr>
      <w:r>
        <w:t>2、承诺及声明：</w:t>
      </w:r>
    </w:p>
    <w:p>
      <w:pPr>
        <w:pStyle w:val="12"/>
        <w:ind w:firstLine="480"/>
        <w:jc w:val="both"/>
      </w:pPr>
      <w:r>
        <w:t>2.1我方具备招标文件第一章载明的“投标人的资格要求”且符合招标文件第三章载明的“二、投标人”之规定，否则投标无效。</w:t>
      </w:r>
    </w:p>
    <w:p>
      <w:pPr>
        <w:pStyle w:val="12"/>
        <w:ind w:firstLine="480"/>
        <w:jc w:val="both"/>
      </w:pPr>
      <w:r>
        <w:t>2.2我方提交的电子投标文件各组成部分的全部内容及资料是不可割离且真实、有效、准确、完整和不具有任何误导性的，否则产生不利后果由我方承担责任。</w:t>
      </w:r>
    </w:p>
    <w:p>
      <w:pPr>
        <w:pStyle w:val="12"/>
        <w:ind w:firstLine="480"/>
        <w:jc w:val="both"/>
      </w:pPr>
      <w:r>
        <w:t>2.3我方提供的标的价格不高于同期市场价格，否则产生不利后果由我方承担责任。</w:t>
      </w:r>
    </w:p>
    <w:p>
      <w:pPr>
        <w:pStyle w:val="12"/>
        <w:ind w:firstLine="480"/>
        <w:jc w:val="both"/>
      </w:pPr>
      <w:r>
        <w:t>2.4投标保证金：若出现招标文件第三章规定的不予退还情形，同意贵单位不予退还。</w:t>
      </w:r>
    </w:p>
    <w:p>
      <w:pPr>
        <w:pStyle w:val="12"/>
        <w:ind w:firstLine="480"/>
        <w:jc w:val="both"/>
      </w:pPr>
      <w:r>
        <w:t>2.5投标有效期：按照招标文件第三章规定执行，并在招标文件第二章载明的期限内保持有效。</w:t>
      </w:r>
    </w:p>
    <w:p>
      <w:pPr>
        <w:pStyle w:val="12"/>
        <w:ind w:firstLine="480"/>
        <w:jc w:val="both"/>
      </w:pPr>
      <w:r>
        <w:t>2.6若中标，将按照招标文件、我方电子投标文件及政府采购合同履行责任和义务。</w:t>
      </w:r>
    </w:p>
    <w:p>
      <w:pPr>
        <w:pStyle w:val="12"/>
        <w:ind w:firstLine="480"/>
        <w:jc w:val="both"/>
      </w:pPr>
      <w:r>
        <w:t>2.7若贵单位要求，我方同意提供与本项目投标有关的一切资料、数据或文件，并完全理解贵单位不一定要接受最低的投标报价或收到的任何投标。</w:t>
      </w:r>
    </w:p>
    <w:p>
      <w:pPr>
        <w:pStyle w:val="12"/>
        <w:ind w:firstLine="480"/>
        <w:jc w:val="both"/>
      </w:pPr>
      <w:r>
        <w:t>2.8我方承诺电子投标文件所提供的全部资料真实可靠，并接受评标委员会、采购人、采购代理机构、监管部门进一步审查其中任何资料真实性的要求。</w:t>
      </w:r>
    </w:p>
    <w:p>
      <w:pPr>
        <w:pStyle w:val="12"/>
        <w:ind w:firstLine="480"/>
        <w:jc w:val="both"/>
      </w:pPr>
      <w:r>
        <w:t>2.9除招标文件另有规定外，对于贵单位按照下述联络方式发出的任何信息或通知，均视为我方已收悉前述信息或通知的全部内容：</w:t>
      </w:r>
    </w:p>
    <w:p>
      <w:pPr>
        <w:pStyle w:val="12"/>
        <w:ind w:firstLine="480"/>
        <w:jc w:val="both"/>
      </w:pPr>
      <w:r>
        <w:t xml:space="preserve">通信地址：             </w:t>
      </w:r>
      <w:r>
        <w:tab/>
      </w:r>
      <w:r>
        <w:tab/>
      </w:r>
      <w:r>
        <w:tab/>
      </w:r>
      <w:r>
        <w:t xml:space="preserve">                          </w:t>
      </w:r>
    </w:p>
    <w:p>
      <w:pPr>
        <w:pStyle w:val="12"/>
        <w:ind w:firstLine="480"/>
        <w:jc w:val="both"/>
      </w:pPr>
      <w:r>
        <w:t xml:space="preserve">邮编：             </w:t>
      </w:r>
      <w:r>
        <w:tab/>
      </w:r>
      <w:r>
        <w:tab/>
      </w:r>
      <w:r>
        <w:tab/>
      </w:r>
      <w:r>
        <w:t xml:space="preserve">                             </w:t>
      </w:r>
    </w:p>
    <w:p>
      <w:pPr>
        <w:pStyle w:val="12"/>
        <w:ind w:firstLine="480"/>
        <w:jc w:val="both"/>
      </w:pPr>
      <w:r>
        <w:t>联系方法：（包括但不限于：联系人、联系电话、手机、传真、电子邮箱等）</w:t>
      </w:r>
    </w:p>
    <w:p>
      <w:pPr>
        <w:pStyle w:val="12"/>
        <w:ind w:firstLine="480"/>
        <w:jc w:val="both"/>
      </w:pPr>
      <w:r>
        <w:t>投标人：（全称并加盖单位公章）</w:t>
      </w:r>
    </w:p>
    <w:p>
      <w:pPr>
        <w:pStyle w:val="12"/>
        <w:ind w:firstLine="480"/>
        <w:jc w:val="both"/>
      </w:pPr>
      <w:r>
        <w:t>日期：    年   月   日</w:t>
      </w:r>
    </w:p>
    <w:p>
      <w:pPr>
        <w:pStyle w:val="12"/>
        <w:jc w:val="both"/>
      </w:pPr>
    </w:p>
    <w:p>
      <w:pPr>
        <w:pStyle w:val="12"/>
        <w:jc w:val="both"/>
      </w:pPr>
      <w:r>
        <w:t xml:space="preserve"> </w:t>
      </w:r>
    </w:p>
    <w:p>
      <w:pPr>
        <w:pStyle w:val="12"/>
        <w:jc w:val="center"/>
        <w:outlineLvl w:val="2"/>
      </w:pPr>
      <w:r>
        <w:rPr>
          <w:b/>
          <w:sz w:val="28"/>
        </w:rPr>
        <w:t>二、投标人的资格及资信证明文件</w:t>
      </w:r>
    </w:p>
    <w:p>
      <w:pPr>
        <w:pStyle w:val="12"/>
        <w:jc w:val="center"/>
        <w:outlineLvl w:val="3"/>
      </w:pPr>
      <w:r>
        <w:rPr>
          <w:b/>
          <w:sz w:val="24"/>
        </w:rPr>
        <w:t>二-1单位授权书（若有）</w:t>
      </w:r>
    </w:p>
    <w:p>
      <w:pPr>
        <w:pStyle w:val="12"/>
        <w:ind w:firstLine="480"/>
        <w:jc w:val="both"/>
      </w:pPr>
      <w:r>
        <w:t>致：</w:t>
      </w:r>
      <w:r>
        <w:rPr>
          <w:u w:val="single"/>
        </w:rPr>
        <w:t>（采购人或采购代理机构）</w:t>
      </w:r>
    </w:p>
    <w:p>
      <w:pPr>
        <w:pStyle w:val="12"/>
        <w:ind w:firstLine="480"/>
        <w:jc w:val="both"/>
      </w:pPr>
      <w:r>
        <w:t>我方的单位负责人</w:t>
      </w:r>
      <w:r>
        <w:rPr>
          <w:u w:val="single"/>
        </w:rPr>
        <w:t>（填写“单位负责人全名”）</w:t>
      </w:r>
      <w:r>
        <w:t>授权</w:t>
      </w:r>
      <w:r>
        <w:rPr>
          <w:u w:val="single"/>
        </w:rPr>
        <w:t>（填写“投标人代表全名”）</w:t>
      </w:r>
      <w:r>
        <w:t>为投标人代表，代表我方参加</w:t>
      </w:r>
      <w:r>
        <w:rPr>
          <w:u w:val="single"/>
        </w:rPr>
        <w:t>（填写“项目名称”）</w:t>
      </w:r>
      <w:r>
        <w:t>项目（项目编号：</w:t>
      </w:r>
      <w:r>
        <w:rPr>
          <w:u w:val="single"/>
        </w:rPr>
        <w:t>　　　　　</w:t>
      </w:r>
      <w: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12"/>
        <w:ind w:firstLine="480"/>
        <w:jc w:val="both"/>
      </w:pPr>
      <w:r>
        <w:t>投标人代表无转委权。特此授权。</w:t>
      </w:r>
    </w:p>
    <w:p>
      <w:pPr>
        <w:pStyle w:val="12"/>
        <w:ind w:firstLine="480"/>
        <w:jc w:val="both"/>
      </w:pPr>
      <w:r>
        <w:t>（以下无正文）</w:t>
      </w:r>
    </w:p>
    <w:p>
      <w:pPr>
        <w:pStyle w:val="12"/>
        <w:ind w:firstLine="480"/>
        <w:jc w:val="both"/>
      </w:pPr>
      <w:r>
        <w:t>单位负责人：</w:t>
      </w:r>
      <w:r>
        <w:rPr>
          <w:u w:val="single"/>
        </w:rPr>
        <w:t>　　　　　</w:t>
      </w:r>
      <w:r>
        <w:t>身份证号：</w:t>
      </w:r>
      <w:r>
        <w:rPr>
          <w:u w:val="single"/>
        </w:rPr>
        <w:t>　　　　　</w:t>
      </w:r>
      <w:r>
        <w:t>手机：</w:t>
      </w:r>
      <w:r>
        <w:rPr>
          <w:u w:val="single"/>
        </w:rPr>
        <w:t>　　　　　</w:t>
      </w:r>
    </w:p>
    <w:p>
      <w:pPr>
        <w:pStyle w:val="12"/>
        <w:ind w:firstLine="480"/>
        <w:jc w:val="both"/>
      </w:pPr>
      <w:r>
        <w:t>投标人代表：</w:t>
      </w:r>
      <w:r>
        <w:rPr>
          <w:u w:val="single"/>
        </w:rPr>
        <w:t>　　　　　</w:t>
      </w:r>
      <w:r>
        <w:t>身份证号：</w:t>
      </w:r>
      <w:r>
        <w:rPr>
          <w:u w:val="single"/>
        </w:rPr>
        <w:t>　　　　　</w:t>
      </w:r>
      <w:r>
        <w:t>手机：</w:t>
      </w:r>
      <w:r>
        <w:rPr>
          <w:u w:val="single"/>
        </w:rPr>
        <w:t>　　　　　</w:t>
      </w:r>
    </w:p>
    <w:p>
      <w:pPr>
        <w:pStyle w:val="12"/>
        <w:ind w:firstLine="480"/>
        <w:jc w:val="both"/>
      </w:pPr>
      <w:r>
        <w:t>授权方</w:t>
      </w:r>
    </w:p>
    <w:p>
      <w:pPr>
        <w:pStyle w:val="12"/>
        <w:ind w:firstLine="480"/>
        <w:jc w:val="both"/>
      </w:pPr>
      <w:r>
        <w:t>投标人：</w:t>
      </w:r>
      <w:r>
        <w:rPr>
          <w:u w:val="single"/>
        </w:rPr>
        <w:t>（全称并加盖单位公章）</w:t>
      </w:r>
    </w:p>
    <w:p>
      <w:pPr>
        <w:pStyle w:val="12"/>
        <w:ind w:firstLine="480"/>
        <w:jc w:val="both"/>
      </w:pPr>
      <w:r>
        <w:t>单位负责人签字或盖章：</w:t>
      </w:r>
      <w:r>
        <w:rPr>
          <w:u w:val="single"/>
        </w:rPr>
        <w:t>　　　　　</w:t>
      </w:r>
    </w:p>
    <w:p>
      <w:pPr>
        <w:pStyle w:val="12"/>
        <w:ind w:firstLine="480"/>
        <w:jc w:val="both"/>
      </w:pPr>
      <w:r>
        <w:t>接受授权方</w:t>
      </w:r>
    </w:p>
    <w:p>
      <w:pPr>
        <w:pStyle w:val="12"/>
        <w:ind w:firstLine="480"/>
        <w:jc w:val="both"/>
      </w:pPr>
      <w:r>
        <w:t>供应商代表签字</w:t>
      </w:r>
      <w:r>
        <w:rPr>
          <w:u w:val="single"/>
        </w:rPr>
        <w:t>　　            　　　</w:t>
      </w:r>
    </w:p>
    <w:p>
      <w:pPr>
        <w:pStyle w:val="12"/>
        <w:ind w:firstLine="480"/>
        <w:jc w:val="right"/>
      </w:pPr>
      <w:r>
        <w:t>签署日期： 年 月 日</w:t>
      </w:r>
    </w:p>
    <w:p>
      <w:pPr>
        <w:pStyle w:val="12"/>
        <w:ind w:firstLine="480"/>
        <w:jc w:val="both"/>
      </w:pPr>
      <w:r>
        <w:t>附：单位负责人、投标人代表的身份证正反面复印件</w:t>
      </w:r>
    </w:p>
    <w:p>
      <w:pPr>
        <w:pStyle w:val="12"/>
        <w:jc w:val="both"/>
      </w:pPr>
    </w:p>
    <w:p>
      <w:pPr>
        <w:pStyle w:val="12"/>
        <w:pBdr>
          <w:top w:val="dashed" w:color="000000" w:sz="4" w:space="0"/>
          <w:left w:val="dashed" w:color="000000" w:sz="4" w:space="0"/>
          <w:bottom w:val="dashed" w:color="000000" w:sz="4" w:space="0"/>
          <w:right w:val="dashed" w:color="000000" w:sz="4" w:space="0"/>
        </w:pBdr>
        <w:jc w:val="center"/>
      </w:pPr>
    </w:p>
    <w:p>
      <w:pPr>
        <w:pStyle w:val="12"/>
        <w:jc w:val="center"/>
      </w:pPr>
      <w:r>
        <w:t>要求：真实有效且内容完整、清晰、整洁。</w:t>
      </w:r>
    </w:p>
    <w:p>
      <w:pPr>
        <w:pStyle w:val="12"/>
        <w:ind w:firstLine="480"/>
        <w:jc w:val="both"/>
      </w:pPr>
      <w:r>
        <w:t>※注意：</w:t>
      </w:r>
    </w:p>
    <w:p>
      <w:pPr>
        <w:pStyle w:val="12"/>
        <w:ind w:firstLine="480"/>
        <w:jc w:val="both"/>
      </w:pPr>
      <w:r>
        <w:t>1、企业（银行、保险、石油石化、电力、电信等行业除外）、事业单位和社会团体法人的“单位负责人”指法定代表人，即与实际提交的“营业执照等证明文件”载明的一致。</w:t>
      </w:r>
    </w:p>
    <w:p>
      <w:pPr>
        <w:pStyle w:val="12"/>
        <w:ind w:firstLine="480"/>
        <w:jc w:val="both"/>
      </w:pPr>
      <w: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12"/>
        <w:ind w:firstLine="480"/>
        <w:jc w:val="both"/>
      </w:pPr>
      <w:r>
        <w:t>3、投标人（自然人除外）：若投标人代表为单位授权的委托代理人，应提供本授权书；若投标人代表为单位负责人，应在此项下提交其身份证正反面复印件，可不提供本授权书。</w:t>
      </w:r>
    </w:p>
    <w:p>
      <w:pPr>
        <w:pStyle w:val="12"/>
        <w:ind w:firstLine="480"/>
        <w:jc w:val="both"/>
      </w:pPr>
      <w:r>
        <w:t>4、投标人为自然人的，可不填写本授权书。</w:t>
      </w:r>
    </w:p>
    <w:p>
      <w:pPr>
        <w:pStyle w:val="12"/>
        <w:jc w:val="both"/>
      </w:pPr>
      <w:r>
        <w:t xml:space="preserve"> </w:t>
      </w:r>
    </w:p>
    <w:p>
      <w:pPr>
        <w:pStyle w:val="12"/>
        <w:jc w:val="center"/>
        <w:outlineLvl w:val="3"/>
      </w:pPr>
      <w:r>
        <w:rPr>
          <w:b/>
          <w:sz w:val="24"/>
        </w:rPr>
        <w:t>二-2营业执照等证明文件</w:t>
      </w:r>
    </w:p>
    <w:p>
      <w:pPr>
        <w:pStyle w:val="12"/>
        <w:ind w:firstLine="480"/>
        <w:jc w:val="both"/>
      </w:pPr>
      <w:r>
        <w:t>致：</w:t>
      </w:r>
      <w:r>
        <w:rPr>
          <w:u w:val="single"/>
        </w:rPr>
        <w:t>（采购人或采购代理机构）</w:t>
      </w:r>
    </w:p>
    <w:p>
      <w:pPr>
        <w:pStyle w:val="12"/>
        <w:ind w:firstLine="480"/>
        <w:jc w:val="both"/>
      </w:pPr>
      <w:r>
        <w:t>（ ）投标人为法人（包括企业、事业单位和社会团体）的</w:t>
      </w:r>
    </w:p>
    <w:p>
      <w:pPr>
        <w:pStyle w:val="12"/>
        <w:ind w:firstLine="480"/>
        <w:jc w:val="both"/>
      </w:pPr>
      <w:r>
        <w:t>现附上由</w:t>
      </w:r>
      <w:r>
        <w:rPr>
          <w:u w:val="single"/>
        </w:rPr>
        <w:t>（（填写“签发机关全称”）</w:t>
      </w:r>
      <w:r>
        <w:t>签发的我方统一社会信用代码（请填写法人的具体证照名称）复印件，该证明材料真实有效，否则我方负全部责任。</w:t>
      </w:r>
    </w:p>
    <w:p>
      <w:pPr>
        <w:pStyle w:val="12"/>
        <w:ind w:firstLine="480"/>
        <w:jc w:val="both"/>
      </w:pPr>
      <w:r>
        <w:t>（ ）投标人为非法人（包括其他组织、自然人）的</w:t>
      </w:r>
    </w:p>
    <w:p>
      <w:pPr>
        <w:pStyle w:val="12"/>
        <w:ind w:firstLine="480"/>
        <w:jc w:val="both"/>
      </w:pPr>
      <w:r>
        <w:t>□现附上由</w:t>
      </w:r>
      <w:r>
        <w:rPr>
          <w:u w:val="single"/>
        </w:rPr>
        <w:t>（（填写“签发机关全称”）</w:t>
      </w:r>
      <w:r>
        <w:t>签发的我方（请填写非自然人的非法人的具体证照名称）复印件，该证明材料真实有效，否则我方负全部责任。</w:t>
      </w:r>
    </w:p>
    <w:p>
      <w:pPr>
        <w:pStyle w:val="12"/>
        <w:ind w:firstLine="480"/>
        <w:jc w:val="both"/>
      </w:pPr>
      <w:r>
        <w:t>□现附上由</w:t>
      </w:r>
      <w:r>
        <w:rPr>
          <w:u w:val="single"/>
        </w:rPr>
        <w:t>（（填写“签发机关全称”）</w:t>
      </w:r>
      <w:r>
        <w:t>签发的我方（请填写自然人的身份证件名称）复印件，该证明材料真实有效，否则我方负全部责任。</w:t>
      </w:r>
    </w:p>
    <w:p>
      <w:pPr>
        <w:pStyle w:val="12"/>
        <w:ind w:firstLine="480"/>
        <w:jc w:val="both"/>
      </w:pPr>
      <w:r>
        <w:t>※注意：</w:t>
      </w:r>
    </w:p>
    <w:p>
      <w:pPr>
        <w:pStyle w:val="12"/>
        <w:ind w:firstLine="480"/>
        <w:jc w:val="both"/>
      </w:pPr>
      <w:r>
        <w:t>1、请投标人按照实际情况编制填写，在相应的（）中打“√”并选择相应的“□”（若有）后，再按照本格式的要求提供相应证明材料的复印件。</w:t>
      </w:r>
    </w:p>
    <w:p>
      <w:pPr>
        <w:pStyle w:val="12"/>
        <w:ind w:firstLine="480"/>
        <w:jc w:val="both"/>
      </w:pPr>
      <w: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jc w:val="both"/>
      </w:pPr>
      <w:r>
        <w:t xml:space="preserve"> </w:t>
      </w:r>
    </w:p>
    <w:p>
      <w:pPr>
        <w:pStyle w:val="12"/>
        <w:jc w:val="center"/>
        <w:outlineLvl w:val="3"/>
      </w:pPr>
      <w:r>
        <w:rPr>
          <w:b/>
          <w:sz w:val="24"/>
        </w:rPr>
        <w:t>二-3财务状况报告（财务报告、或资信证明）</w:t>
      </w:r>
    </w:p>
    <w:p>
      <w:pPr>
        <w:pStyle w:val="12"/>
        <w:ind w:firstLine="480"/>
        <w:jc w:val="both"/>
      </w:pPr>
      <w:r>
        <w:t>致：</w:t>
      </w:r>
      <w:r>
        <w:rPr>
          <w:u w:val="single"/>
        </w:rPr>
        <w:t>（采购人或采购代理机构）</w:t>
      </w:r>
    </w:p>
    <w:p>
      <w:pPr>
        <w:pStyle w:val="12"/>
        <w:ind w:firstLine="480"/>
        <w:jc w:val="both"/>
      </w:pPr>
      <w:r>
        <w:t>（ ）投标人提供财务报告的</w:t>
      </w:r>
    </w:p>
    <w:p>
      <w:pPr>
        <w:pStyle w:val="12"/>
        <w:ind w:firstLine="480"/>
        <w:jc w:val="both"/>
      </w:pPr>
      <w:r>
        <w:t>□企业适用：现附上我方</w:t>
      </w:r>
      <w:r>
        <w:rPr>
          <w:u w:val="single"/>
        </w:rPr>
        <w:t>（填写“具体的年度、或半年度、季度”）</w:t>
      </w:r>
      <w:r>
        <w:t>财务报告复印件，包括资产负债表、利润表、现金流量表、所有者权益变动表（若有）及其附注（若有）、会计师事务所营业执照和注册会计师资格证书，上述证明材料真实有效，否则我方负全部责任。</w:t>
      </w:r>
    </w:p>
    <w:p>
      <w:pPr>
        <w:pStyle w:val="12"/>
        <w:ind w:firstLine="480"/>
        <w:jc w:val="both"/>
      </w:pPr>
      <w:r>
        <w:t>□事业单位适用：现附上我方</w:t>
      </w:r>
      <w:r>
        <w:rPr>
          <w:u w:val="single"/>
        </w:rPr>
        <w:t>（填写“具体的年度、或半年度、或季度”）</w:t>
      </w:r>
      <w:r>
        <w:t>财务报告复印件，包括资产负债表、收入支出表（或收入费用表）、财政补助收入支出表（若有）、会计师事务所营业执照和注册会计师资格证书，上述证明材料真实有效，否则我方负全部责任。</w:t>
      </w:r>
    </w:p>
    <w:p>
      <w:pPr>
        <w:pStyle w:val="12"/>
        <w:ind w:firstLine="480"/>
        <w:jc w:val="both"/>
      </w:pPr>
      <w:r>
        <w:t>□社会团体、民办非企适用：现附上我方</w:t>
      </w:r>
      <w:r>
        <w:rPr>
          <w:u w:val="single"/>
        </w:rPr>
        <w:t>（填写“具体的年度、或半年度、或季度”）</w:t>
      </w:r>
      <w:r>
        <w:t>财务报告复印件，包括资产负债表、业务活动表、现金流量表、会计师事务所营业执照和注册会计师资格证书，上述证明材料真实有效，否则我方负全部责任。</w:t>
      </w:r>
    </w:p>
    <w:p>
      <w:pPr>
        <w:pStyle w:val="12"/>
        <w:ind w:firstLine="480"/>
        <w:jc w:val="both"/>
      </w:pPr>
      <w:r>
        <w:t>（ ）投标人提供资信证明的</w:t>
      </w:r>
    </w:p>
    <w:p>
      <w:pPr>
        <w:pStyle w:val="12"/>
        <w:ind w:firstLine="480"/>
        <w:jc w:val="both"/>
      </w:pPr>
      <w:r>
        <w:t>□非自然人适用（包括企业、事业单位、社会团体和其他组织）：现附上我方银行：</w:t>
      </w:r>
      <w:r>
        <w:rPr>
          <w:u w:val="single"/>
        </w:rPr>
        <w:t>（填写“开户银行全称”）</w:t>
      </w:r>
      <w:r>
        <w:t>出具的资信证明复印件，上述证明材料真实有效，否则我方负全部责任。</w:t>
      </w:r>
    </w:p>
    <w:p>
      <w:pPr>
        <w:pStyle w:val="12"/>
        <w:ind w:firstLine="480"/>
        <w:jc w:val="both"/>
      </w:pPr>
      <w:r>
        <w:t>□自然人适用：现附上我方银行</w:t>
      </w:r>
      <w:r>
        <w:rPr>
          <w:u w:val="single"/>
        </w:rPr>
        <w:t>：（填写自然人的“个人账户的开户银行全称”）</w:t>
      </w:r>
      <w:r>
        <w:t>出具的资信证明复印件，上述证明材料真实有效，否则我方负全部责任。</w:t>
      </w:r>
    </w:p>
    <w:p>
      <w:pPr>
        <w:pStyle w:val="12"/>
        <w:ind w:firstLine="480"/>
        <w:jc w:val="both"/>
      </w:pPr>
      <w:r>
        <w:t>※注意：</w:t>
      </w:r>
    </w:p>
    <w:p>
      <w:pPr>
        <w:pStyle w:val="12"/>
        <w:ind w:firstLine="480"/>
        <w:jc w:val="both"/>
      </w:pPr>
      <w:r>
        <w:t>1、请投标人按照实际情况编制填写，在相应的（）中打“√”并选择相应的“□”（若有）后，再按照本格式的要求提供相应证明材料的复印件。</w:t>
      </w:r>
    </w:p>
    <w:p>
      <w:pPr>
        <w:pStyle w:val="12"/>
        <w:ind w:firstLine="480"/>
        <w:jc w:val="both"/>
      </w:pPr>
      <w:r>
        <w:t>2、投标人提供的财务报告复印件（成立年限按照投标截止时间推算）应符合下列规定：</w:t>
      </w:r>
    </w:p>
    <w:p>
      <w:pPr>
        <w:pStyle w:val="12"/>
        <w:ind w:firstLine="480"/>
        <w:jc w:val="both"/>
      </w:pPr>
      <w:r>
        <w:t>2.1成立年限满1年及以上的投标人，提供经审计的招标文件规定的年度财务报告。</w:t>
      </w:r>
    </w:p>
    <w:p>
      <w:pPr>
        <w:pStyle w:val="12"/>
        <w:ind w:firstLine="480"/>
        <w:jc w:val="both"/>
      </w:pPr>
      <w:r>
        <w:t>2.2成立年限满半年但不足1年的投标人，提供该半年度中任一季度的季度财务报告或该半年度的半年度财务报告。</w:t>
      </w:r>
    </w:p>
    <w:p>
      <w:pPr>
        <w:pStyle w:val="12"/>
        <w:ind w:firstLine="480"/>
        <w:jc w:val="both"/>
      </w:pPr>
      <w: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jc w:val="both"/>
      </w:pPr>
      <w:r>
        <w:t xml:space="preserve"> </w:t>
      </w:r>
    </w:p>
    <w:p>
      <w:pPr>
        <w:pStyle w:val="12"/>
        <w:jc w:val="center"/>
        <w:outlineLvl w:val="3"/>
      </w:pPr>
      <w:r>
        <w:rPr>
          <w:b/>
          <w:sz w:val="24"/>
        </w:rPr>
        <w:t>二-4依法缴纳税收证明材料</w:t>
      </w:r>
    </w:p>
    <w:p>
      <w:pPr>
        <w:pStyle w:val="12"/>
        <w:ind w:firstLine="480"/>
        <w:jc w:val="both"/>
      </w:pPr>
      <w:r>
        <w:t>致：</w:t>
      </w:r>
      <w:r>
        <w:rPr>
          <w:u w:val="single"/>
        </w:rPr>
        <w:t>（采购人或采购代理机构）</w:t>
      </w:r>
    </w:p>
    <w:p>
      <w:pPr>
        <w:pStyle w:val="12"/>
        <w:ind w:firstLine="480"/>
        <w:jc w:val="both"/>
      </w:pPr>
      <w:r>
        <w:t>1、依法缴纳税收的投标人</w:t>
      </w:r>
    </w:p>
    <w:p>
      <w:pPr>
        <w:pStyle w:val="12"/>
        <w:ind w:firstLine="480"/>
        <w:jc w:val="both"/>
      </w:pPr>
      <w:r>
        <w:t>（ ）法人（包括企业、事业单位和社会团体）的</w:t>
      </w:r>
    </w:p>
    <w:p>
      <w:pPr>
        <w:pStyle w:val="12"/>
        <w:ind w:firstLine="480"/>
        <w:jc w:val="both"/>
      </w:pPr>
      <w:r>
        <w:t>现附上自</w:t>
      </w:r>
      <w:r>
        <w:rPr>
          <w:u w:val="single"/>
        </w:rPr>
        <w:t>　　年　　月　　日</w:t>
      </w:r>
      <w:r>
        <w:t>至</w:t>
      </w:r>
      <w:r>
        <w:rPr>
          <w:u w:val="single"/>
        </w:rPr>
        <w:t>　　年　　月　　日</w:t>
      </w:r>
      <w:r>
        <w:t>期间我方缴纳（包括但不限于税务机关出具的专用收据、税收缴纳证明或税收代缴银行的缴款收讫凭证）等税收凭据复印件，上述证明材料真实有效，否则我方负全部责任。</w:t>
      </w:r>
    </w:p>
    <w:p>
      <w:pPr>
        <w:pStyle w:val="12"/>
        <w:ind w:firstLine="480"/>
        <w:jc w:val="both"/>
      </w:pPr>
      <w:r>
        <w:t>（ ）非法人（包括其他组织、自然人）的</w:t>
      </w:r>
    </w:p>
    <w:p>
      <w:pPr>
        <w:pStyle w:val="12"/>
        <w:ind w:firstLine="480"/>
        <w:jc w:val="both"/>
      </w:pPr>
      <w:r>
        <w:t>现附上自</w:t>
      </w:r>
      <w:r>
        <w:rPr>
          <w:u w:val="single"/>
        </w:rPr>
        <w:t>　　年　　月　　日</w:t>
      </w:r>
      <w:r>
        <w:t>至</w:t>
      </w:r>
      <w:r>
        <w:rPr>
          <w:u w:val="single"/>
        </w:rPr>
        <w:t>　　年　　月　　日</w:t>
      </w:r>
      <w:r>
        <w:t>期间我方缴纳（包括但不限于税务机关出具的专用收据、税收缴纳证明或税收代缴银行的缴款收讫凭证）等税收凭据复印件，上述证明材料真实有效，否则我方负全部责任。</w:t>
      </w:r>
    </w:p>
    <w:p>
      <w:pPr>
        <w:pStyle w:val="12"/>
        <w:ind w:firstLine="480"/>
        <w:jc w:val="both"/>
      </w:pPr>
      <w:r>
        <w:t>2、依法免税的投标人</w:t>
      </w:r>
    </w:p>
    <w:p>
      <w:pPr>
        <w:pStyle w:val="12"/>
        <w:ind w:firstLine="480"/>
        <w:jc w:val="both"/>
      </w:pPr>
      <w:r>
        <w:t>（ ）现附上我方依法免税的证明材料复印件，上述证明材料真实有效，否则我方负全部责任。</w:t>
      </w:r>
    </w:p>
    <w:p>
      <w:pPr>
        <w:pStyle w:val="12"/>
        <w:ind w:firstLine="480"/>
        <w:jc w:val="both"/>
      </w:pPr>
      <w:r>
        <w:t>※注意：</w:t>
      </w:r>
    </w:p>
    <w:p>
      <w:pPr>
        <w:pStyle w:val="12"/>
        <w:ind w:firstLine="480"/>
        <w:jc w:val="both"/>
      </w:pPr>
      <w:r>
        <w:t>1、请投标人按照实际情况编制填写，在相应的（）中打“√”，并按照本格式的要求提供相应证明材料的复印件。</w:t>
      </w:r>
    </w:p>
    <w:p>
      <w:pPr>
        <w:pStyle w:val="12"/>
        <w:ind w:firstLine="480"/>
        <w:jc w:val="both"/>
      </w:pPr>
      <w:r>
        <w:t>2、投标人提供的税收缴纳凭据复印件应符合下列规定：</w:t>
      </w:r>
    </w:p>
    <w:p>
      <w:pPr>
        <w:pStyle w:val="12"/>
        <w:ind w:firstLine="480"/>
        <w:jc w:val="both"/>
      </w:pPr>
      <w:r>
        <w:t>2.1投标截止时间前（不含投标截止时间的当月）已依法缴纳税收的投标人，提供投标截止时间前六个月（不含投标截止时间的当月）中任一月份的税收缴纳凭据复印件。</w:t>
      </w:r>
    </w:p>
    <w:p>
      <w:pPr>
        <w:pStyle w:val="12"/>
        <w:ind w:firstLine="480"/>
        <w:jc w:val="both"/>
      </w:pPr>
      <w:r>
        <w:t>2.2投标截止时间的当月成立的投标人，视同满足本项资格条件要求。</w:t>
      </w:r>
    </w:p>
    <w:p>
      <w:pPr>
        <w:pStyle w:val="12"/>
        <w:ind w:firstLine="480"/>
        <w:jc w:val="both"/>
      </w:pPr>
      <w:r>
        <w:t>3、若为依法免税范围的投标人，提供依法免税证明材料的，视同满足本项资格条件要求。</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jc w:val="both"/>
      </w:pPr>
      <w:r>
        <w:t xml:space="preserve"> </w:t>
      </w:r>
    </w:p>
    <w:p>
      <w:pPr>
        <w:pStyle w:val="12"/>
        <w:jc w:val="center"/>
        <w:outlineLvl w:val="3"/>
      </w:pPr>
      <w:r>
        <w:rPr>
          <w:b/>
          <w:sz w:val="24"/>
        </w:rPr>
        <w:t>二-5依法缴纳社会保障资金证明材料</w:t>
      </w:r>
    </w:p>
    <w:p>
      <w:pPr>
        <w:pStyle w:val="12"/>
        <w:ind w:firstLine="480"/>
        <w:jc w:val="both"/>
      </w:pPr>
      <w:r>
        <w:t>致：</w:t>
      </w:r>
      <w:r>
        <w:rPr>
          <w:u w:val="single"/>
        </w:rPr>
        <w:t>（采购人或采购代理机构）</w:t>
      </w:r>
    </w:p>
    <w:p>
      <w:pPr>
        <w:pStyle w:val="12"/>
        <w:ind w:firstLine="480"/>
        <w:jc w:val="both"/>
      </w:pPr>
      <w:r>
        <w:t>1、依法缴纳社会保障资金的投标人</w:t>
      </w:r>
    </w:p>
    <w:p>
      <w:pPr>
        <w:pStyle w:val="12"/>
        <w:ind w:firstLine="480"/>
        <w:jc w:val="both"/>
      </w:pPr>
      <w:r>
        <w:t>（ ）法人（包括企业、事业单位和社会团体）的</w:t>
      </w:r>
    </w:p>
    <w:p>
      <w:pPr>
        <w:pStyle w:val="12"/>
        <w:ind w:firstLine="480"/>
        <w:jc w:val="both"/>
      </w:pPr>
      <w:r>
        <w:t>现附上自</w:t>
      </w:r>
      <w:r>
        <w:rPr>
          <w:u w:val="single"/>
        </w:rPr>
        <w:t>　　年　　月　　日</w:t>
      </w:r>
      <w:r>
        <w:t>至</w:t>
      </w:r>
      <w:r>
        <w:rPr>
          <w:u w:val="single"/>
        </w:rPr>
        <w:t>　　年　　月　　日</w:t>
      </w:r>
      <w:r>
        <w:t>我方缴纳的社会保险凭据（限：税务机关/社会保障资金管理机关的专用收据或社会保险缴纳清单，或社会保险的银行缴款收讫凭证）复印件，上述证明材料真实有效，否则我方负全部责任。</w:t>
      </w:r>
    </w:p>
    <w:p>
      <w:pPr>
        <w:pStyle w:val="12"/>
        <w:ind w:firstLine="480"/>
        <w:jc w:val="both"/>
      </w:pPr>
      <w:r>
        <w:t>（ ）非法人（包括其他组织、自然人）的</w:t>
      </w:r>
    </w:p>
    <w:p>
      <w:pPr>
        <w:pStyle w:val="12"/>
        <w:ind w:firstLine="480"/>
        <w:jc w:val="both"/>
      </w:pPr>
      <w:r>
        <w:t>自</w:t>
      </w:r>
      <w:r>
        <w:rPr>
          <w:u w:val="single"/>
        </w:rPr>
        <w:t>　　年　　月　　日</w:t>
      </w:r>
      <w:r>
        <w:t>至</w:t>
      </w:r>
      <w:r>
        <w:rPr>
          <w:u w:val="single"/>
        </w:rPr>
        <w:t>　　年　　月　　日</w:t>
      </w:r>
      <w:r>
        <w:t>我方缴纳的社会保险凭据（限：税务机关/社会保障资金管理机关的专用收据或社会保险缴纳清单，或社会保险的银行缴款收讫凭证）复印件，上述证明材料真实有效，否则我方负全部责任。</w:t>
      </w:r>
    </w:p>
    <w:p>
      <w:pPr>
        <w:pStyle w:val="12"/>
        <w:ind w:firstLine="480"/>
        <w:jc w:val="both"/>
      </w:pPr>
      <w:r>
        <w:t>2、依法不需要缴纳或暂缓缴纳社会保障资金的投标人</w:t>
      </w:r>
    </w:p>
    <w:p>
      <w:pPr>
        <w:pStyle w:val="12"/>
        <w:ind w:firstLine="480"/>
        <w:jc w:val="both"/>
      </w:pPr>
      <w:r>
        <w:t>（ ）现附上我方依法不需要缴纳或暂缓缴纳社会保障资金证明材料复印件，上述证明材料真实有效，否则我方负全部责任。</w:t>
      </w:r>
    </w:p>
    <w:p>
      <w:pPr>
        <w:pStyle w:val="12"/>
        <w:ind w:firstLine="480"/>
        <w:jc w:val="both"/>
      </w:pPr>
      <w:r>
        <w:t>※注意：</w:t>
      </w:r>
    </w:p>
    <w:p>
      <w:pPr>
        <w:pStyle w:val="12"/>
        <w:ind w:firstLine="480"/>
        <w:jc w:val="both"/>
      </w:pPr>
      <w:r>
        <w:t>1、请投标人按照实际情况编制填写，在相应的（）中打“√”，并按照本格式的要求提供相应证明材料的复印件。</w:t>
      </w:r>
    </w:p>
    <w:p>
      <w:pPr>
        <w:pStyle w:val="12"/>
        <w:ind w:firstLine="480"/>
        <w:jc w:val="both"/>
      </w:pPr>
      <w:r>
        <w:t>2、投标人提供的社会保障资金缴纳凭据复印件应符合下列规定：</w:t>
      </w:r>
    </w:p>
    <w:p>
      <w:pPr>
        <w:pStyle w:val="12"/>
        <w:ind w:firstLine="480"/>
        <w:jc w:val="both"/>
      </w:pPr>
      <w:r>
        <w:t>2.1投标截止时间前（不含投标截止时间的当月）已依法缴纳社会保障资金的投标人，提供投标截止时间前六个月（不含投标截止时间的当月）中任一月份的社会保障资金缴纳凭据复印件。</w:t>
      </w:r>
    </w:p>
    <w:p>
      <w:pPr>
        <w:pStyle w:val="12"/>
        <w:ind w:firstLine="480"/>
        <w:jc w:val="both"/>
      </w:pPr>
      <w:r>
        <w:t>2.2投标截止时间的当月成立的投标人，视同满足本项资格条件要求。</w:t>
      </w:r>
    </w:p>
    <w:p>
      <w:pPr>
        <w:pStyle w:val="12"/>
        <w:ind w:firstLine="480"/>
        <w:jc w:val="both"/>
      </w:pPr>
      <w:r>
        <w:t>3、若为依法不需要缴纳或暂缓缴纳社会保障资金的投标人，提供依法不需要缴纳或暂缓缴纳社会保障资金证明材料的，视同满足本项资格条件要求。</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jc w:val="both"/>
      </w:pPr>
      <w:r>
        <w:t xml:space="preserve"> </w:t>
      </w:r>
    </w:p>
    <w:p>
      <w:pPr>
        <w:pStyle w:val="12"/>
        <w:jc w:val="center"/>
        <w:outlineLvl w:val="3"/>
      </w:pPr>
      <w:r>
        <w:rPr>
          <w:b/>
          <w:sz w:val="24"/>
        </w:rPr>
        <w:t>二-6具备履行合同所必需设备和专业技术能力的声明函（若有）</w:t>
      </w:r>
    </w:p>
    <w:p>
      <w:pPr>
        <w:pStyle w:val="12"/>
        <w:ind w:firstLine="480"/>
        <w:jc w:val="both"/>
      </w:pPr>
      <w:r>
        <w:t>致：</w:t>
      </w:r>
      <w:r>
        <w:rPr>
          <w:u w:val="single"/>
        </w:rPr>
        <w:t>（采购人或采购代理机构）</w:t>
      </w:r>
    </w:p>
    <w:p>
      <w:pPr>
        <w:pStyle w:val="12"/>
        <w:ind w:firstLine="480"/>
        <w:jc w:val="both"/>
      </w:pPr>
      <w:r>
        <w:t>我方具备履行合同所必需的设备和专业技术能力，否则产生不利后果由我方承担责任。</w:t>
      </w:r>
    </w:p>
    <w:p>
      <w:pPr>
        <w:pStyle w:val="12"/>
        <w:ind w:firstLine="960"/>
        <w:jc w:val="both"/>
      </w:pPr>
      <w:r>
        <w:t>特此声明。</w:t>
      </w:r>
    </w:p>
    <w:p>
      <w:pPr>
        <w:pStyle w:val="12"/>
        <w:ind w:firstLine="480"/>
        <w:jc w:val="both"/>
      </w:pPr>
      <w:r>
        <w:t>※注意：</w:t>
      </w:r>
    </w:p>
    <w:p>
      <w:pPr>
        <w:pStyle w:val="12"/>
        <w:ind w:firstLine="480"/>
        <w:jc w:val="both"/>
      </w:pPr>
      <w:r>
        <w:t>1、招标文件未要求投标人提供“具备履行合同所必需的设备和专业技术能力专项证明材料”的，投标人应提供本声明函。</w:t>
      </w:r>
    </w:p>
    <w:p>
      <w:pPr>
        <w:pStyle w:val="12"/>
        <w:ind w:firstLine="480"/>
        <w:jc w:val="both"/>
      </w:pPr>
      <w:r>
        <w:t>2、招标文件要求投标人提供“具备履行合同所必需的设备和专业技术能力专项证明材料”的，投标人可不提供本声明函。</w:t>
      </w:r>
    </w:p>
    <w:p>
      <w:pPr>
        <w:pStyle w:val="12"/>
        <w:ind w:firstLine="480"/>
        <w:jc w:val="both"/>
      </w:pPr>
      <w:r>
        <w:t>3、请投标人根据实际情况如实声明，否则视为提供虚假材料。</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jc w:val="both"/>
      </w:pPr>
      <w:r>
        <w:t xml:space="preserve"> </w:t>
      </w:r>
    </w:p>
    <w:p>
      <w:pPr>
        <w:pStyle w:val="12"/>
        <w:jc w:val="center"/>
        <w:outlineLvl w:val="3"/>
      </w:pPr>
      <w:r>
        <w:rPr>
          <w:b/>
          <w:sz w:val="24"/>
        </w:rPr>
        <w:t>二-7参加采购活动前三年内在经营活动中没有重大违法记录书面声明</w:t>
      </w:r>
    </w:p>
    <w:p>
      <w:pPr>
        <w:pStyle w:val="12"/>
        <w:ind w:firstLine="480"/>
        <w:jc w:val="both"/>
      </w:pPr>
      <w:r>
        <w:t>致：</w:t>
      </w:r>
      <w:r>
        <w:rPr>
          <w:u w:val="single"/>
        </w:rPr>
        <w:t>（采购人或采购代理机构）</w:t>
      </w:r>
    </w:p>
    <w:p>
      <w:pPr>
        <w:pStyle w:val="12"/>
        <w:ind w:firstLine="480"/>
        <w:jc w:val="both"/>
      </w:pPr>
      <w:r>
        <w:t>参加采购活动前三年内，我方在经营活动中没有重大违法记录，即没有因违法经营受到刑事处罚或责令停产停业、吊销许可证或执照、较大数额罚款等行政处罚。否则产生不利后果由我方承担责任。</w:t>
      </w:r>
    </w:p>
    <w:p>
      <w:pPr>
        <w:pStyle w:val="12"/>
        <w:ind w:firstLine="960"/>
        <w:jc w:val="both"/>
      </w:pPr>
      <w:r>
        <w:t>特此声明。</w:t>
      </w:r>
    </w:p>
    <w:p>
      <w:pPr>
        <w:pStyle w:val="12"/>
        <w:ind w:firstLine="480"/>
        <w:jc w:val="both"/>
      </w:pPr>
      <w:r>
        <w:t>※注意：</w:t>
      </w:r>
    </w:p>
    <w:p>
      <w:pPr>
        <w:pStyle w:val="12"/>
        <w:ind w:firstLine="480"/>
        <w:jc w:val="both"/>
      </w:pPr>
      <w: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pStyle w:val="12"/>
        <w:ind w:firstLine="480"/>
        <w:jc w:val="both"/>
      </w:pPr>
      <w:r>
        <w:t>请投标人根据实际情况如实声明，否则视为提供虚假材料。</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jc w:val="both"/>
      </w:pPr>
      <w:r>
        <w:t xml:space="preserve"> </w:t>
      </w:r>
    </w:p>
    <w:p>
      <w:pPr>
        <w:pStyle w:val="12"/>
        <w:jc w:val="center"/>
        <w:outlineLvl w:val="3"/>
      </w:pPr>
      <w:r>
        <w:rPr>
          <w:b/>
          <w:sz w:val="24"/>
        </w:rPr>
        <w:t>二-8信用记录查询提示</w:t>
      </w:r>
    </w:p>
    <w:p>
      <w:pPr>
        <w:pStyle w:val="12"/>
        <w:ind w:firstLine="480"/>
        <w:jc w:val="both"/>
      </w:pPr>
      <w:r>
        <w:t>1、由资格审查小组通过网站查询并打印投标人的信用记录。</w:t>
      </w:r>
    </w:p>
    <w:p>
      <w:pPr>
        <w:pStyle w:val="12"/>
        <w:ind w:firstLine="480"/>
        <w:jc w:val="both"/>
      </w:pPr>
      <w: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pPr>
        <w:pStyle w:val="12"/>
        <w:ind w:firstLine="480"/>
        <w:jc w:val="both"/>
      </w:pPr>
      <w:r>
        <w:t>3、投标人应了解投标人自身的信用记录情况。当投标人受到200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pPr>
        <w:pStyle w:val="12"/>
        <w:jc w:val="both"/>
      </w:pPr>
      <w:r>
        <w:t xml:space="preserve"> </w:t>
      </w:r>
    </w:p>
    <w:p>
      <w:pPr>
        <w:pStyle w:val="12"/>
        <w:jc w:val="center"/>
        <w:outlineLvl w:val="3"/>
      </w:pPr>
      <w:r>
        <w:rPr>
          <w:b/>
          <w:sz w:val="24"/>
        </w:rPr>
        <w:t>二-9中小企业声明函</w:t>
      </w:r>
    </w:p>
    <w:p>
      <w:pPr>
        <w:pStyle w:val="12"/>
        <w:jc w:val="center"/>
        <w:outlineLvl w:val="3"/>
      </w:pPr>
      <w:r>
        <w:rPr>
          <w:b/>
          <w:sz w:val="24"/>
        </w:rPr>
        <w:t>（以资格条件落实中小企业扶持政策时适用，若有）</w:t>
      </w:r>
    </w:p>
    <w:p>
      <w:pPr>
        <w:pStyle w:val="12"/>
        <w:jc w:val="center"/>
        <w:outlineLvl w:val="3"/>
      </w:pPr>
      <w:r>
        <w:rPr>
          <w:b/>
          <w:sz w:val="24"/>
        </w:rPr>
        <w:t>中小企业声明函（货物）</w:t>
      </w:r>
    </w:p>
    <w:p>
      <w:pPr>
        <w:pStyle w:val="12"/>
        <w:ind w:firstLine="480"/>
        <w:jc w:val="both"/>
      </w:pPr>
      <w:r>
        <w:t>本公司（联合体）郑重声明，根据《政府采购促进中小企业发展管理办法》（财库﹝2020﹞46 号）的规定，本公司（联合体）参加</w:t>
      </w:r>
      <w:r>
        <w:rPr>
          <w:u w:val="single"/>
        </w:rPr>
        <w:t>（单位名称）</w:t>
      </w:r>
      <w:r>
        <w:t>的</w:t>
      </w:r>
      <w:r>
        <w:rPr>
          <w:u w:val="single"/>
        </w:rPr>
        <w:t>（项目名称）</w:t>
      </w:r>
      <w:r>
        <w:t>采购活动，提供的货物全部由符合政策要求的中小企业制造。相关企业（含联合体中的中小企业、签订分包意向协议的中小企业）的具体情况如下：</w:t>
      </w:r>
    </w:p>
    <w:p>
      <w:pPr>
        <w:pStyle w:val="12"/>
        <w:ind w:firstLine="480"/>
        <w:jc w:val="both"/>
      </w:pPr>
      <w:r>
        <w:t>1.</w:t>
      </w:r>
      <w:r>
        <w:rPr>
          <w:u w:val="single"/>
        </w:rPr>
        <w:t>（标的名称）</w:t>
      </w:r>
      <w:r>
        <w:t>，属于</w:t>
      </w:r>
      <w:r>
        <w:rPr>
          <w:u w:val="single"/>
        </w:rPr>
        <w:t>（采购文件中明确的所属行业）</w:t>
      </w:r>
      <w:r>
        <w:t>行业；制造商为</w:t>
      </w:r>
      <w:r>
        <w:rPr>
          <w:u w:val="single"/>
        </w:rPr>
        <w:t>（企业名称）</w:t>
      </w:r>
      <w:r>
        <w:t>，从业人员</w:t>
      </w:r>
      <w:r>
        <w:rPr>
          <w:u w:val="single"/>
        </w:rPr>
        <w:t>　　　　　</w:t>
      </w:r>
      <w:r>
        <w:t>人，营业收入为</w:t>
      </w:r>
      <w:r>
        <w:rPr>
          <w:u w:val="single"/>
        </w:rPr>
        <w:t>　　　　　</w:t>
      </w:r>
      <w:r>
        <w:t>万元，资产总额为</w:t>
      </w:r>
      <w:r>
        <w:rPr>
          <w:u w:val="single"/>
        </w:rPr>
        <w:t>　　　　　</w:t>
      </w:r>
      <w:r>
        <w:t>万元</w:t>
      </w:r>
      <w:r>
        <w:rPr>
          <w:rFonts w:ascii="宋体" w:hAnsi="宋体" w:eastAsia="宋体" w:cs="宋体"/>
          <w:sz w:val="21"/>
        </w:rPr>
        <w:t>1</w:t>
      </w:r>
      <w:r>
        <w:t>，属于</w:t>
      </w:r>
      <w:r>
        <w:rPr>
          <w:u w:val="single"/>
        </w:rPr>
        <w:t>（中型企业、小型企业、微型企业）</w:t>
      </w:r>
      <w:r>
        <w:t>；</w:t>
      </w:r>
    </w:p>
    <w:p>
      <w:pPr>
        <w:pStyle w:val="12"/>
        <w:ind w:firstLine="480"/>
        <w:jc w:val="both"/>
      </w:pPr>
      <w:r>
        <w:t>2.</w:t>
      </w:r>
      <w:r>
        <w:rPr>
          <w:u w:val="single"/>
        </w:rPr>
        <w:t>（标的名称）</w:t>
      </w:r>
      <w:r>
        <w:t>，属于</w:t>
      </w:r>
      <w:r>
        <w:rPr>
          <w:u w:val="single"/>
        </w:rPr>
        <w:t>（采购文件中明确的所属行业）</w:t>
      </w:r>
      <w:r>
        <w:t>行业；制造商为</w:t>
      </w:r>
      <w:r>
        <w:rPr>
          <w:u w:val="single"/>
        </w:rPr>
        <w:t>（企业名称）</w:t>
      </w:r>
      <w:r>
        <w:t>，从业人员</w:t>
      </w:r>
      <w:r>
        <w:rPr>
          <w:u w:val="single"/>
        </w:rPr>
        <w:t>　　　　　</w:t>
      </w:r>
      <w:r>
        <w:t>人，营业收入为</w:t>
      </w:r>
      <w:r>
        <w:rPr>
          <w:u w:val="single"/>
        </w:rPr>
        <w:t>　　　　　</w:t>
      </w:r>
      <w:r>
        <w:t>万元，资产总额为</w:t>
      </w:r>
      <w:r>
        <w:rPr>
          <w:u w:val="single"/>
        </w:rPr>
        <w:t>　　　　　</w:t>
      </w:r>
      <w:r>
        <w:t>万元，属于</w:t>
      </w:r>
      <w:r>
        <w:rPr>
          <w:u w:val="single"/>
        </w:rPr>
        <w:t>（中型企业、小型企业、微型企业）</w:t>
      </w:r>
      <w:r>
        <w:t>；</w:t>
      </w:r>
    </w:p>
    <w:p>
      <w:pPr>
        <w:pStyle w:val="12"/>
        <w:ind w:firstLine="480"/>
        <w:jc w:val="both"/>
      </w:pPr>
      <w:r>
        <w:t>……</w:t>
      </w:r>
    </w:p>
    <w:p>
      <w:pPr>
        <w:pStyle w:val="12"/>
        <w:ind w:firstLine="480"/>
        <w:jc w:val="both"/>
      </w:pPr>
      <w:r>
        <w:t>以上企业，不属于大企业的分支机构，不存在控股股东为大企业的情形，也不存在与大企业的负责人为同一人的情形。</w:t>
      </w:r>
    </w:p>
    <w:p>
      <w:pPr>
        <w:pStyle w:val="12"/>
        <w:ind w:firstLine="480"/>
        <w:jc w:val="both"/>
      </w:pPr>
      <w:r>
        <w:t>本企业对上述声明内容的真实性负责。如有虚假，将依法承担相应责任。</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ind w:firstLine="480"/>
        <w:jc w:val="both"/>
      </w:pPr>
      <w:r>
        <w:t>※注意：</w:t>
      </w:r>
    </w:p>
    <w:p>
      <w:pPr>
        <w:pStyle w:val="12"/>
        <w:ind w:firstLine="480"/>
        <w:jc w:val="both"/>
      </w:pPr>
      <w:r>
        <w:t>1、从业人员、营业收入、资产总额填报上一年度数据，无上一年度数据的新成立企业可不填报。</w:t>
      </w:r>
    </w:p>
    <w:p>
      <w:pPr>
        <w:pStyle w:val="12"/>
        <w:ind w:firstLine="480"/>
        <w:jc w:val="both"/>
      </w:pPr>
      <w: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12"/>
        <w:ind w:firstLine="480"/>
        <w:jc w:val="both"/>
      </w:pPr>
      <w: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12"/>
        <w:jc w:val="both"/>
      </w:pPr>
      <w:r>
        <w:t xml:space="preserve"> </w:t>
      </w:r>
    </w:p>
    <w:p>
      <w:pPr>
        <w:pStyle w:val="12"/>
        <w:jc w:val="center"/>
        <w:outlineLvl w:val="3"/>
      </w:pPr>
      <w:r>
        <w:rPr>
          <w:b/>
          <w:sz w:val="24"/>
        </w:rPr>
        <w:t>中小企业声明函（工程、服务）</w:t>
      </w:r>
    </w:p>
    <w:p>
      <w:pPr>
        <w:pStyle w:val="12"/>
        <w:ind w:firstLine="480"/>
        <w:jc w:val="both"/>
      </w:pPr>
      <w:r>
        <w:t>本公司（联合体）郑重声明，根据《政府采购促进中小企业发展管理办法》（财库﹝2020﹞46 号）的规定，本公司（联合体）参加</w:t>
      </w:r>
      <w:r>
        <w:rPr>
          <w:u w:val="single"/>
        </w:rPr>
        <w:t>（单位名称）</w:t>
      </w:r>
      <w:r>
        <w:t>的</w:t>
      </w:r>
      <w:r>
        <w:rPr>
          <w:u w:val="single"/>
        </w:rPr>
        <w:t>（项目名称）</w:t>
      </w:r>
      <w:r>
        <w:t>采购活动，工程的施工单位全部为符合政策要求的中小企业（或者：服务全部由符合政策要求的中小企业承接）。相关企业（含联合体中的中小企业、签订分包意向协议的中小企业）的具体情况如下：</w:t>
      </w:r>
    </w:p>
    <w:p>
      <w:pPr>
        <w:pStyle w:val="12"/>
        <w:ind w:firstLine="480"/>
        <w:jc w:val="both"/>
      </w:pPr>
      <w:r>
        <w:t>1.</w:t>
      </w:r>
      <w:r>
        <w:rPr>
          <w:u w:val="single"/>
        </w:rPr>
        <w:t>（标的名称）</w:t>
      </w:r>
      <w:r>
        <w:t>，属于</w:t>
      </w:r>
      <w:r>
        <w:rPr>
          <w:u w:val="single"/>
        </w:rPr>
        <w:t>（采购文件中明确的所属行业）</w:t>
      </w:r>
      <w:r>
        <w:t>；承建（承接）企业为</w:t>
      </w:r>
      <w:r>
        <w:rPr>
          <w:u w:val="single"/>
        </w:rPr>
        <w:t>（企业名称）</w:t>
      </w:r>
      <w:r>
        <w:t>，从业人员</w:t>
      </w:r>
      <w:r>
        <w:rPr>
          <w:u w:val="single"/>
        </w:rPr>
        <w:t>　　　　　</w:t>
      </w:r>
      <w:r>
        <w:t>人，营业收入为</w:t>
      </w:r>
      <w:r>
        <w:rPr>
          <w:u w:val="single"/>
        </w:rPr>
        <w:t>　　　　　</w:t>
      </w:r>
      <w:r>
        <w:t>万元，资产总额为</w:t>
      </w:r>
      <w:r>
        <w:rPr>
          <w:u w:val="single"/>
        </w:rPr>
        <w:t>　　　　　</w:t>
      </w:r>
      <w:r>
        <w:t>万元</w:t>
      </w:r>
      <w:r>
        <w:rPr>
          <w:rFonts w:ascii="宋体" w:hAnsi="宋体" w:eastAsia="宋体" w:cs="宋体"/>
          <w:sz w:val="21"/>
        </w:rPr>
        <w:t>1</w:t>
      </w:r>
      <w:r>
        <w:t>，属于</w:t>
      </w:r>
      <w:r>
        <w:rPr>
          <w:u w:val="single"/>
        </w:rPr>
        <w:t>（中型企业、小型企业、微型企业）</w:t>
      </w:r>
      <w:r>
        <w:t>；</w:t>
      </w:r>
    </w:p>
    <w:p>
      <w:pPr>
        <w:pStyle w:val="12"/>
        <w:ind w:firstLine="480"/>
        <w:jc w:val="both"/>
      </w:pPr>
      <w:r>
        <w:t>2.</w:t>
      </w:r>
      <w:r>
        <w:rPr>
          <w:u w:val="single"/>
        </w:rPr>
        <w:t>（标的名称）</w:t>
      </w:r>
      <w:r>
        <w:t>，属于</w:t>
      </w:r>
      <w:r>
        <w:rPr>
          <w:u w:val="single"/>
        </w:rPr>
        <w:t>（采购文件中明确的所属行业）</w:t>
      </w:r>
      <w:r>
        <w:t>；承建（承接）企业为</w:t>
      </w:r>
      <w:r>
        <w:rPr>
          <w:u w:val="single"/>
        </w:rPr>
        <w:t>（企业名称）</w:t>
      </w:r>
      <w:r>
        <w:t>，从业人员</w:t>
      </w:r>
      <w:r>
        <w:rPr>
          <w:u w:val="single"/>
        </w:rPr>
        <w:t>　　　　　</w:t>
      </w:r>
      <w:r>
        <w:t>人，营业收入为</w:t>
      </w:r>
      <w:r>
        <w:rPr>
          <w:u w:val="single"/>
        </w:rPr>
        <w:t>　　　　　</w:t>
      </w:r>
      <w:r>
        <w:t>万元，资产总额为</w:t>
      </w:r>
      <w:r>
        <w:rPr>
          <w:u w:val="single"/>
        </w:rPr>
        <w:t>　　　　　</w:t>
      </w:r>
      <w:r>
        <w:t>万元，属于</w:t>
      </w:r>
      <w:r>
        <w:rPr>
          <w:u w:val="single"/>
        </w:rPr>
        <w:t>（中型企业、小型企业、微型企业）</w:t>
      </w:r>
      <w:r>
        <w:t>；</w:t>
      </w:r>
    </w:p>
    <w:p>
      <w:pPr>
        <w:pStyle w:val="12"/>
        <w:ind w:firstLine="480"/>
        <w:jc w:val="both"/>
      </w:pPr>
      <w:r>
        <w:t>……</w:t>
      </w:r>
    </w:p>
    <w:p>
      <w:pPr>
        <w:pStyle w:val="12"/>
        <w:ind w:firstLine="480"/>
        <w:jc w:val="both"/>
      </w:pPr>
      <w:r>
        <w:t>以上企业，不属于大企业的分支机构，不存在控股股东为大企业的情形，也不存在与大企业的负责人为同一人的情形。</w:t>
      </w:r>
    </w:p>
    <w:p>
      <w:pPr>
        <w:pStyle w:val="12"/>
        <w:ind w:firstLine="480"/>
        <w:jc w:val="both"/>
      </w:pPr>
      <w:r>
        <w:t>本企业对上述声明内容的真实性负责。如有虚假，将依法承担相应责任。</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ind w:firstLine="480"/>
        <w:jc w:val="both"/>
      </w:pPr>
      <w:r>
        <w:t>※注意：</w:t>
      </w:r>
    </w:p>
    <w:p>
      <w:pPr>
        <w:pStyle w:val="12"/>
        <w:ind w:firstLine="480"/>
        <w:jc w:val="both"/>
      </w:pPr>
      <w:r>
        <w:t>1、从业人员、营业收入、资产总额填报上一年度数据，无上一年度数据的新成立企业可不填报。</w:t>
      </w:r>
    </w:p>
    <w:p>
      <w:pPr>
        <w:pStyle w:val="12"/>
        <w:ind w:firstLine="480"/>
        <w:jc w:val="both"/>
      </w:pPr>
      <w: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12"/>
        <w:ind w:firstLine="480"/>
        <w:jc w:val="both"/>
      </w:pPr>
      <w: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12"/>
        <w:jc w:val="both"/>
      </w:pPr>
      <w:r>
        <w:t xml:space="preserve"> </w:t>
      </w:r>
    </w:p>
    <w:p>
      <w:pPr>
        <w:pStyle w:val="12"/>
        <w:jc w:val="center"/>
        <w:outlineLvl w:val="3"/>
      </w:pPr>
      <w:r>
        <w:rPr>
          <w:b/>
          <w:sz w:val="24"/>
        </w:rPr>
        <w:t>残疾人福利性单位声明函</w:t>
      </w:r>
    </w:p>
    <w:p>
      <w:pPr>
        <w:pStyle w:val="12"/>
        <w:jc w:val="center"/>
        <w:outlineLvl w:val="3"/>
      </w:pPr>
      <w:r>
        <w:rPr>
          <w:b/>
          <w:sz w:val="24"/>
        </w:rPr>
        <w:t>（以资格条件落实中小企业扶持政策时适用，若有）</w:t>
      </w:r>
    </w:p>
    <w:p>
      <w:pPr>
        <w:pStyle w:val="12"/>
        <w:ind w:firstLine="480"/>
        <w:jc w:val="both"/>
      </w:pPr>
      <w: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12"/>
        <w:ind w:firstLine="480"/>
        <w:jc w:val="both"/>
      </w:pPr>
      <w: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pPr>
        <w:pStyle w:val="12"/>
        <w:ind w:firstLine="480"/>
        <w:jc w:val="both"/>
      </w:pPr>
      <w:r>
        <w:t>（ ）由本投标人承建的（填写“所投采购包、品目号”）工程</w:t>
      </w:r>
    </w:p>
    <w:p>
      <w:pPr>
        <w:pStyle w:val="12"/>
        <w:ind w:firstLine="480"/>
        <w:jc w:val="both"/>
      </w:pPr>
      <w:r>
        <w:t>（ ）由本投标人承接的（填写“所投采购包、品目号”）服务；</w:t>
      </w:r>
    </w:p>
    <w:p>
      <w:pPr>
        <w:pStyle w:val="12"/>
        <w:ind w:firstLine="480"/>
        <w:jc w:val="both"/>
      </w:pPr>
      <w:r>
        <w:t>本投标人对上述声明的真实性负责。如有虚假，将依法承担相应责任。</w:t>
      </w:r>
    </w:p>
    <w:p>
      <w:pPr>
        <w:pStyle w:val="12"/>
        <w:ind w:firstLine="480"/>
        <w:jc w:val="both"/>
      </w:pPr>
      <w:r>
        <w:t>备注：</w:t>
      </w:r>
    </w:p>
    <w:p>
      <w:pPr>
        <w:pStyle w:val="12"/>
        <w:ind w:firstLine="480"/>
        <w:jc w:val="both"/>
      </w:pPr>
      <w:r>
        <w:t>1、请投标人按照实际情况编制填写本声明函，并在相应的（）中打“√”。</w:t>
      </w:r>
    </w:p>
    <w:p>
      <w:pPr>
        <w:pStyle w:val="12"/>
        <w:ind w:firstLine="480"/>
        <w:jc w:val="both"/>
      </w:pPr>
      <w:r>
        <w:t>2、若《残疾人福利性单位声明函》内容不真实，视为提供虚假材料。</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ind w:firstLine="480"/>
        <w:jc w:val="both"/>
      </w:pPr>
      <w:r>
        <w:t>附：</w:t>
      </w:r>
    </w:p>
    <w:p>
      <w:pPr>
        <w:pStyle w:val="12"/>
        <w:jc w:val="center"/>
        <w:outlineLvl w:val="3"/>
      </w:pPr>
      <w:r>
        <w:rPr>
          <w:b/>
          <w:sz w:val="24"/>
        </w:rPr>
        <w:t>监狱企业证明材料</w:t>
      </w:r>
    </w:p>
    <w:p>
      <w:pPr>
        <w:pStyle w:val="12"/>
        <w:ind w:firstLine="480"/>
        <w:jc w:val="both"/>
      </w:pPr>
      <w:r>
        <w:t>投标人为监狱企业，提供本单位制造的货物（承接的服务），并在电子投标文件中提供省级以上监狱管理局、戒毒管理局（含新疆生产建设兵团）出具的属于监狱企业的证明文件。</w:t>
      </w:r>
    </w:p>
    <w:p>
      <w:pPr>
        <w:pStyle w:val="12"/>
        <w:jc w:val="both"/>
      </w:pPr>
      <w:r>
        <w:t xml:space="preserve"> </w:t>
      </w:r>
    </w:p>
    <w:p>
      <w:pPr>
        <w:pStyle w:val="12"/>
        <w:jc w:val="center"/>
        <w:outlineLvl w:val="3"/>
      </w:pPr>
      <w:r>
        <w:rPr>
          <w:b/>
          <w:sz w:val="24"/>
        </w:rPr>
        <w:t>二-10联合体协议（若有）</w:t>
      </w:r>
    </w:p>
    <w:p>
      <w:pPr>
        <w:pStyle w:val="12"/>
        <w:ind w:firstLine="480"/>
        <w:jc w:val="both"/>
      </w:pPr>
      <w:r>
        <w:t>致：</w:t>
      </w:r>
      <w:r>
        <w:rPr>
          <w:u w:val="single"/>
        </w:rPr>
        <w:t>（采购人或采购代理机构）</w:t>
      </w:r>
    </w:p>
    <w:p>
      <w:pPr>
        <w:pStyle w:val="12"/>
        <w:ind w:firstLine="480"/>
        <w:jc w:val="both"/>
      </w:pPr>
      <w:r>
        <w:t>兹有</w:t>
      </w:r>
      <w:r>
        <w:rPr>
          <w:u w:val="single"/>
        </w:rPr>
        <w:t>（填写“联合体中各方的全称”，各方的全称之间请用“、”分割）</w:t>
      </w:r>
      <w:r>
        <w:t>自愿组成联合体，共同参加</w:t>
      </w:r>
      <w:r>
        <w:rPr>
          <w:u w:val="single"/>
        </w:rPr>
        <w:t>（填写“项目名称”）</w:t>
      </w:r>
      <w:r>
        <w:t>项目（项目编号：</w:t>
      </w:r>
      <w:r>
        <w:rPr>
          <w:u w:val="single"/>
        </w:rPr>
        <w:t>　　　　　　</w:t>
      </w:r>
      <w:r>
        <w:t>）的投标。现就联合体参加本项目投标的有关事宜达成下列协议：</w:t>
      </w:r>
    </w:p>
    <w:p>
      <w:pPr>
        <w:pStyle w:val="12"/>
        <w:ind w:firstLine="480"/>
        <w:jc w:val="both"/>
      </w:pPr>
      <w:r>
        <w:t>一、联合体各方应承担的工作和义务具体如下：</w:t>
      </w:r>
    </w:p>
    <w:p>
      <w:pPr>
        <w:pStyle w:val="12"/>
        <w:ind w:firstLine="480"/>
        <w:jc w:val="both"/>
      </w:pPr>
      <w:r>
        <w:t>1、牵头方（全称）：</w:t>
      </w:r>
      <w:r>
        <w:rPr>
          <w:u w:val="single"/>
        </w:rPr>
        <w:t>（填写“工作及义务的具体内容”）</w:t>
      </w:r>
      <w:r>
        <w:t>；</w:t>
      </w:r>
    </w:p>
    <w:p>
      <w:pPr>
        <w:pStyle w:val="12"/>
        <w:ind w:firstLine="480"/>
        <w:jc w:val="both"/>
      </w:pPr>
      <w:r>
        <w:t>2、成员方：</w:t>
      </w:r>
    </w:p>
    <w:p>
      <w:pPr>
        <w:pStyle w:val="12"/>
        <w:ind w:firstLine="480"/>
        <w:jc w:val="both"/>
      </w:pPr>
      <w:r>
        <w:t>2.1（成员一的全称）：</w:t>
      </w:r>
      <w:r>
        <w:rPr>
          <w:u w:val="single"/>
        </w:rPr>
        <w:t>（填写“工作及义务的具体内容”）</w:t>
      </w:r>
      <w:r>
        <w:t>；</w:t>
      </w:r>
    </w:p>
    <w:p>
      <w:pPr>
        <w:pStyle w:val="12"/>
        <w:ind w:firstLine="480"/>
        <w:jc w:val="both"/>
      </w:pPr>
      <w:r>
        <w:t>……</w:t>
      </w:r>
    </w:p>
    <w:p>
      <w:pPr>
        <w:pStyle w:val="12"/>
        <w:ind w:firstLine="480"/>
        <w:jc w:val="both"/>
      </w:pPr>
      <w:r>
        <w:t>二、联合体各方的合同金额占比，具体如下：</w:t>
      </w:r>
    </w:p>
    <w:p>
      <w:pPr>
        <w:pStyle w:val="12"/>
        <w:ind w:firstLine="480"/>
        <w:jc w:val="both"/>
      </w:pPr>
      <w:r>
        <w:t>1.牵头方（</w:t>
      </w:r>
      <w:r>
        <w:rPr>
          <w:u w:val="single"/>
        </w:rPr>
        <w:t>全称</w:t>
      </w:r>
      <w:r>
        <w:t>）的合同金额占合同总额的</w:t>
      </w:r>
      <w:r>
        <w:rPr>
          <w:u w:val="single"/>
        </w:rPr>
        <w:t>　　</w:t>
      </w:r>
      <w:r>
        <w:t>%；</w:t>
      </w:r>
    </w:p>
    <w:p>
      <w:pPr>
        <w:pStyle w:val="12"/>
        <w:ind w:firstLine="480"/>
        <w:jc w:val="both"/>
      </w:pPr>
      <w:r>
        <w:t>2.成员方：</w:t>
      </w:r>
    </w:p>
    <w:p>
      <w:pPr>
        <w:pStyle w:val="12"/>
        <w:ind w:firstLine="480"/>
        <w:jc w:val="both"/>
      </w:pPr>
      <w:r>
        <w:t>2.1（</w:t>
      </w:r>
      <w:r>
        <w:rPr>
          <w:u w:val="single"/>
        </w:rPr>
        <w:t>成员1的全称</w:t>
      </w:r>
      <w:r>
        <w:t>）的合同金额占合同总额的</w:t>
      </w:r>
      <w:r>
        <w:rPr>
          <w:u w:val="single"/>
        </w:rPr>
        <w:t>　　</w:t>
      </w:r>
      <w:r>
        <w:t>%；</w:t>
      </w:r>
    </w:p>
    <w:p>
      <w:pPr>
        <w:pStyle w:val="12"/>
        <w:ind w:firstLine="480"/>
        <w:jc w:val="both"/>
      </w:pPr>
      <w:r>
        <w:t>……</w:t>
      </w:r>
    </w:p>
    <w:p>
      <w:pPr>
        <w:pStyle w:val="12"/>
        <w:ind w:firstLine="480"/>
        <w:jc w:val="both"/>
      </w:pPr>
      <w:r>
        <w:t>三、联合体各方约定：</w:t>
      </w:r>
    </w:p>
    <w:p>
      <w:pPr>
        <w:pStyle w:val="12"/>
        <w:ind w:firstLine="480"/>
        <w:jc w:val="both"/>
      </w:pPr>
      <w:r>
        <w:t>1、由</w:t>
      </w:r>
      <w:r>
        <w:rPr>
          <w:u w:val="single"/>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pPr>
        <w:pStyle w:val="12"/>
        <w:ind w:firstLine="480"/>
        <w:jc w:val="both"/>
      </w:pPr>
      <w:r>
        <w:t>2、联合体各方约定由</w:t>
      </w:r>
      <w:r>
        <w:rPr>
          <w:u w:val="single"/>
        </w:rPr>
        <w:t>（填写“牵头方的全称”）代表联合体办理投标保证金事宜。</w:t>
      </w:r>
    </w:p>
    <w:p>
      <w:pPr>
        <w:pStyle w:val="12"/>
        <w:ind w:firstLine="480"/>
        <w:jc w:val="both"/>
      </w:pPr>
      <w:r>
        <w:t>3、根据福建省财政厅文件（闽财购[2008]10号）的规定，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pPr>
        <w:pStyle w:val="12"/>
        <w:ind w:firstLine="480"/>
        <w:jc w:val="both"/>
      </w:pPr>
      <w:r>
        <w:t>四、若中标，牵头方将代表联合体与采购人就合同签订事宜进行协商；若协商一致，则联合体各方将共同与采购人签订政府采购合同，并就政府采购合同约定的事项对采购人承担连带责任。</w:t>
      </w:r>
    </w:p>
    <w:p>
      <w:pPr>
        <w:pStyle w:val="12"/>
        <w:ind w:firstLine="480"/>
        <w:jc w:val="both"/>
      </w:pPr>
      <w:r>
        <w:t>五、本协议自签署之日起生效，政府采购合同履行完毕后自动失效。</w:t>
      </w:r>
    </w:p>
    <w:p>
      <w:pPr>
        <w:pStyle w:val="12"/>
        <w:ind w:firstLine="480"/>
        <w:jc w:val="both"/>
      </w:pPr>
      <w:r>
        <w:t>六、本协议一式</w:t>
      </w:r>
      <w:r>
        <w:rPr>
          <w:u w:val="single"/>
        </w:rPr>
        <w:t>（填写具体份数）</w:t>
      </w:r>
      <w:r>
        <w:t>份，联合体各方各执一份，电子投标文件中提交一份。</w:t>
      </w:r>
    </w:p>
    <w:p>
      <w:pPr>
        <w:pStyle w:val="12"/>
        <w:ind w:firstLine="480"/>
        <w:jc w:val="both"/>
      </w:pPr>
      <w:r>
        <w:t>（以下无正文）</w:t>
      </w:r>
    </w:p>
    <w:p>
      <w:pPr>
        <w:pStyle w:val="12"/>
        <w:ind w:firstLine="480"/>
        <w:jc w:val="both"/>
      </w:pPr>
      <w:r>
        <w:t>牵头方：</w:t>
      </w:r>
      <w:r>
        <w:rPr>
          <w:u w:val="single"/>
        </w:rPr>
        <w:t>（全称并加盖单位公章）</w:t>
      </w:r>
    </w:p>
    <w:p>
      <w:pPr>
        <w:pStyle w:val="12"/>
        <w:ind w:firstLine="480"/>
        <w:jc w:val="both"/>
      </w:pPr>
      <w:r>
        <w:t>法定代表人或其委托代理人：</w:t>
      </w:r>
      <w:r>
        <w:rPr>
          <w:u w:val="single"/>
        </w:rPr>
        <w:t>（签字或盖章）</w:t>
      </w:r>
    </w:p>
    <w:p>
      <w:pPr>
        <w:pStyle w:val="12"/>
        <w:ind w:firstLine="480"/>
        <w:jc w:val="both"/>
      </w:pPr>
      <w:r>
        <w:t>成员一：</w:t>
      </w:r>
      <w:r>
        <w:rPr>
          <w:u w:val="single"/>
        </w:rPr>
        <w:t>（全称并加盖成员一的单位公章）</w:t>
      </w:r>
    </w:p>
    <w:p>
      <w:pPr>
        <w:pStyle w:val="12"/>
        <w:ind w:firstLine="480"/>
        <w:jc w:val="both"/>
      </w:pPr>
      <w:r>
        <w:t>法定代表人或其委托代理人：</w:t>
      </w:r>
      <w:r>
        <w:rPr>
          <w:u w:val="single"/>
        </w:rPr>
        <w:t>（签字或盖章）</w:t>
      </w:r>
    </w:p>
    <w:p>
      <w:pPr>
        <w:pStyle w:val="12"/>
        <w:ind w:firstLine="480"/>
        <w:jc w:val="both"/>
      </w:pPr>
      <w:r>
        <w:t>……</w:t>
      </w:r>
    </w:p>
    <w:p>
      <w:pPr>
        <w:pStyle w:val="12"/>
        <w:ind w:firstLine="480"/>
        <w:jc w:val="both"/>
      </w:pPr>
      <w:r>
        <w:t>成员**：</w:t>
      </w:r>
      <w:r>
        <w:rPr>
          <w:u w:val="single"/>
        </w:rPr>
        <w:t>（全称并加盖成员**的单位公章）</w:t>
      </w:r>
    </w:p>
    <w:p>
      <w:pPr>
        <w:pStyle w:val="12"/>
        <w:ind w:firstLine="480"/>
        <w:jc w:val="both"/>
      </w:pPr>
      <w:r>
        <w:t>法定代表人或其委托代理人：</w:t>
      </w:r>
      <w:r>
        <w:rPr>
          <w:u w:val="single"/>
        </w:rPr>
        <w:t>（签字或盖章）</w:t>
      </w:r>
    </w:p>
    <w:p>
      <w:pPr>
        <w:pStyle w:val="12"/>
        <w:ind w:firstLine="480"/>
        <w:jc w:val="right"/>
      </w:pPr>
      <w:r>
        <w:t>签署日期：</w:t>
      </w:r>
      <w:r>
        <w:rPr>
          <w:u w:val="single"/>
        </w:rPr>
        <w:t>　　年　　月　　日</w:t>
      </w:r>
    </w:p>
    <w:p>
      <w:pPr>
        <w:pStyle w:val="12"/>
        <w:ind w:firstLine="480"/>
        <w:jc w:val="both"/>
      </w:pPr>
      <w:r>
        <w:t>※注意：</w:t>
      </w:r>
    </w:p>
    <w:p>
      <w:pPr>
        <w:pStyle w:val="12"/>
        <w:ind w:firstLine="480"/>
        <w:jc w:val="both"/>
      </w:pPr>
      <w:r>
        <w:t>1、招标文件接受联合体投标且投标人为联合体的，投标人应提供本协议；否则无须提供。</w:t>
      </w:r>
    </w:p>
    <w:p>
      <w:pPr>
        <w:pStyle w:val="12"/>
        <w:ind w:firstLine="480"/>
        <w:jc w:val="both"/>
      </w:pPr>
      <w:r>
        <w:t>2、本协议由委托代理人签字或盖章的，应按照本章载明的格式提供“单位授权书”。</w:t>
      </w:r>
    </w:p>
    <w:p>
      <w:pPr>
        <w:pStyle w:val="12"/>
        <w:ind w:firstLine="480"/>
        <w:jc w:val="both"/>
      </w:pPr>
      <w:r>
        <w:t>3、在以联合体形式落实中小企业预留份额项目中，投标人除了要提供《中小企业声明函》，还需提供本协议。</w:t>
      </w:r>
    </w:p>
    <w:p>
      <w:pPr>
        <w:pStyle w:val="12"/>
        <w:jc w:val="both"/>
      </w:pPr>
      <w:r>
        <w:t xml:space="preserve"> </w:t>
      </w:r>
    </w:p>
    <w:p>
      <w:pPr>
        <w:pStyle w:val="12"/>
        <w:jc w:val="center"/>
        <w:outlineLvl w:val="3"/>
      </w:pPr>
      <w:r>
        <w:rPr>
          <w:b/>
          <w:sz w:val="24"/>
        </w:rPr>
        <w:t>二-11分包意向协议（若有）</w:t>
      </w:r>
    </w:p>
    <w:p>
      <w:pPr>
        <w:pStyle w:val="12"/>
        <w:ind w:firstLine="480"/>
        <w:jc w:val="both"/>
      </w:pPr>
      <w:r>
        <w:t>甲方（总包方）：</w:t>
      </w:r>
      <w:r>
        <w:rPr>
          <w:u w:val="single"/>
        </w:rPr>
        <w:t>　　　　　　　</w:t>
      </w:r>
      <w:r>
        <w:t>（即本项目的投标人）</w:t>
      </w:r>
    </w:p>
    <w:p>
      <w:pPr>
        <w:pStyle w:val="12"/>
        <w:ind w:firstLine="480"/>
        <w:jc w:val="both"/>
      </w:pPr>
      <w:r>
        <w:t>乙方（分包方）：</w:t>
      </w:r>
      <w:r>
        <w:rPr>
          <w:u w:val="single"/>
        </w:rPr>
        <w:t>　　　　　　　</w:t>
      </w:r>
    </w:p>
    <w:p>
      <w:pPr>
        <w:pStyle w:val="12"/>
        <w:ind w:firstLine="480"/>
        <w:jc w:val="both"/>
      </w:pPr>
      <w:r>
        <w:t>兹有甲方参加</w:t>
      </w:r>
      <w:r>
        <w:rPr>
          <w:u w:val="single"/>
        </w:rPr>
        <w:t>（填写“项目名称”）</w:t>
      </w:r>
      <w:r>
        <w:t>项目（项目编号：</w:t>
      </w:r>
      <w:r>
        <w:rPr>
          <w:u w:val="single"/>
        </w:rPr>
        <w:t>　　　　　　　</w:t>
      </w:r>
      <w:r>
        <w:t>）的政府采购活动。甲方期望将采购项目的部分采购标的分包给乙方完成，而乙方保证能够向甲方提供本协议项下的采购标的，甲、乙双方就合同分包的有关事宜达成下列协议：</w:t>
      </w:r>
    </w:p>
    <w:p>
      <w:pPr>
        <w:pStyle w:val="12"/>
        <w:ind w:firstLine="480"/>
        <w:jc w:val="both"/>
      </w:pPr>
      <w:r>
        <w:t>一、分包标的</w:t>
      </w:r>
    </w:p>
    <w:p>
      <w:pPr>
        <w:pStyle w:val="12"/>
        <w:ind w:firstLine="480"/>
        <w:jc w:val="both"/>
      </w:pPr>
      <w:r>
        <w:rPr>
          <w:u w:val="single"/>
        </w:rPr>
        <w:t>（根据双方的意向填写，可以是表格或文字描述）。</w:t>
      </w:r>
    </w:p>
    <w:p>
      <w:pPr>
        <w:pStyle w:val="12"/>
        <w:ind w:firstLine="480"/>
        <w:jc w:val="both"/>
      </w:pPr>
      <w:r>
        <w:t>二、分包合同金额占比</w:t>
      </w:r>
    </w:p>
    <w:p>
      <w:pPr>
        <w:pStyle w:val="12"/>
        <w:ind w:firstLine="480"/>
        <w:jc w:val="both"/>
      </w:pPr>
      <w:r>
        <w:t>分包合同价占投标总价的比例：</w:t>
      </w:r>
      <w:r>
        <w:rPr>
          <w:u w:val="single"/>
        </w:rPr>
        <w:t>　　　　　</w:t>
      </w:r>
      <w:r>
        <w:t>%</w:t>
      </w:r>
    </w:p>
    <w:p>
      <w:pPr>
        <w:pStyle w:val="12"/>
        <w:ind w:firstLine="480"/>
        <w:jc w:val="both"/>
      </w:pPr>
      <w:r>
        <w:t>三、其他条款</w:t>
      </w:r>
    </w:p>
    <w:p>
      <w:pPr>
        <w:pStyle w:val="12"/>
        <w:ind w:firstLine="480"/>
        <w:jc w:val="both"/>
      </w:pPr>
      <w: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12"/>
              <w:jc w:val="both"/>
            </w:pPr>
            <w:r>
              <w:t>甲方：</w:t>
            </w:r>
          </w:p>
        </w:tc>
        <w:tc>
          <w:tcPr>
            <w:tcW w:w="4153" w:type="dxa"/>
          </w:tcPr>
          <w:p>
            <w:pPr>
              <w:pStyle w:val="12"/>
              <w:jc w:val="both"/>
            </w:pPr>
            <w:r>
              <w:t>乙方：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12"/>
              <w:jc w:val="both"/>
            </w:pPr>
            <w:r>
              <w:t>住所：</w:t>
            </w:r>
          </w:p>
        </w:tc>
        <w:tc>
          <w:tcPr>
            <w:tcW w:w="4153" w:type="dxa"/>
          </w:tcPr>
          <w:p>
            <w:pPr>
              <w:pStyle w:val="12"/>
              <w:jc w:val="both"/>
            </w:pPr>
            <w:r>
              <w:t>住所：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12"/>
              <w:jc w:val="both"/>
            </w:pPr>
            <w:r>
              <w:t>单位负责人或委托代理人：</w:t>
            </w:r>
          </w:p>
        </w:tc>
        <w:tc>
          <w:tcPr>
            <w:tcW w:w="4153" w:type="dxa"/>
          </w:tcPr>
          <w:p>
            <w:pPr>
              <w:pStyle w:val="12"/>
              <w:jc w:val="both"/>
            </w:pPr>
            <w:r>
              <w:t>单位负责人或委托代理人：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12"/>
              <w:jc w:val="both"/>
            </w:pPr>
            <w:r>
              <w:t>联系方法：</w:t>
            </w:r>
          </w:p>
        </w:tc>
        <w:tc>
          <w:tcPr>
            <w:tcW w:w="4153" w:type="dxa"/>
          </w:tcPr>
          <w:p>
            <w:pPr>
              <w:pStyle w:val="12"/>
              <w:jc w:val="both"/>
            </w:pPr>
            <w:r>
              <w:t>联系方法：</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12"/>
              <w:jc w:val="both"/>
            </w:pPr>
            <w:r>
              <w:t>开户银行：</w:t>
            </w:r>
          </w:p>
        </w:tc>
        <w:tc>
          <w:tcPr>
            <w:tcW w:w="4153" w:type="dxa"/>
          </w:tcPr>
          <w:p>
            <w:pPr>
              <w:pStyle w:val="12"/>
              <w:jc w:val="both"/>
            </w:pPr>
            <w:r>
              <w:t>开户银行：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4153" w:type="dxa"/>
          </w:tcPr>
          <w:p>
            <w:pPr>
              <w:pStyle w:val="12"/>
              <w:jc w:val="both"/>
            </w:pPr>
            <w:r>
              <w:t>账号：</w:t>
            </w:r>
          </w:p>
        </w:tc>
        <w:tc>
          <w:tcPr>
            <w:tcW w:w="4153" w:type="dxa"/>
          </w:tcPr>
          <w:p>
            <w:pPr>
              <w:pStyle w:val="12"/>
              <w:jc w:val="both"/>
            </w:pPr>
            <w:r>
              <w:t>账号：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pPr>
              <w:pStyle w:val="12"/>
              <w:jc w:val="right"/>
            </w:pPr>
            <w:r>
              <w:t>签订地点：</w:t>
            </w:r>
            <w:r>
              <w:rPr>
                <w:u w:val="single"/>
              </w:rPr>
              <w:t>　　　　　　　　　　</w:t>
            </w:r>
          </w:p>
          <w:p>
            <w:pPr>
              <w:pStyle w:val="12"/>
              <w:jc w:val="right"/>
            </w:pPr>
            <w:r>
              <w:t>签约日期：</w:t>
            </w:r>
            <w:r>
              <w:rPr>
                <w:u w:val="single"/>
              </w:rPr>
              <w:t>　　年　　月　　日</w:t>
            </w:r>
          </w:p>
        </w:tc>
      </w:tr>
    </w:tbl>
    <w:p>
      <w:pPr>
        <w:pStyle w:val="12"/>
        <w:ind w:firstLine="480"/>
        <w:jc w:val="both"/>
      </w:pPr>
      <w:r>
        <w:t>※注意：</w:t>
      </w:r>
    </w:p>
    <w:p>
      <w:pPr>
        <w:pStyle w:val="12"/>
        <w:ind w:firstLine="480"/>
        <w:jc w:val="both"/>
      </w:pPr>
      <w:r>
        <w:t>1.招标文件接受合同分包且投标人拟将合同分包的，应提供本协议；否则无须提供。</w:t>
      </w:r>
    </w:p>
    <w:p>
      <w:pPr>
        <w:pStyle w:val="12"/>
        <w:ind w:firstLine="480"/>
        <w:jc w:val="both"/>
      </w:pPr>
      <w:r>
        <w:t>2.本协议由委托代理人签字或盖章的，应按照本章载明的格式提供“单位授权书”。</w:t>
      </w:r>
    </w:p>
    <w:p>
      <w:pPr>
        <w:pStyle w:val="12"/>
        <w:ind w:firstLine="480"/>
        <w:jc w:val="both"/>
      </w:pPr>
      <w:r>
        <w:t>3.在以合同分包形式落实中小企业预留份额项目中，投标人除了要提供《中小企业声明函》，还需提供本协议。</w:t>
      </w:r>
    </w:p>
    <w:p>
      <w:pPr>
        <w:pStyle w:val="12"/>
        <w:jc w:val="both"/>
      </w:pPr>
      <w:r>
        <w:t xml:space="preserve"> </w:t>
      </w:r>
    </w:p>
    <w:p>
      <w:pPr>
        <w:pStyle w:val="12"/>
        <w:jc w:val="center"/>
        <w:outlineLvl w:val="3"/>
      </w:pPr>
      <w:r>
        <w:rPr>
          <w:b/>
          <w:sz w:val="24"/>
        </w:rPr>
        <w:t>二-12其他资格证明文件（若有）</w:t>
      </w:r>
    </w:p>
    <w:p>
      <w:pPr>
        <w:pStyle w:val="12"/>
        <w:jc w:val="center"/>
        <w:outlineLvl w:val="3"/>
      </w:pPr>
      <w:r>
        <w:rPr>
          <w:b/>
          <w:sz w:val="24"/>
        </w:rPr>
        <w:t>二-12-①具备履行合同所必需设备和专业技术能力专项证明材料（若有）</w:t>
      </w:r>
    </w:p>
    <w:p>
      <w:pPr>
        <w:pStyle w:val="12"/>
        <w:ind w:firstLine="480"/>
        <w:jc w:val="both"/>
      </w:pPr>
      <w:r>
        <w:t>致：</w:t>
      </w:r>
      <w:r>
        <w:rPr>
          <w:u w:val="single"/>
        </w:rPr>
        <w:t>（采购人或采购代理机构）</w:t>
      </w:r>
    </w:p>
    <w:p>
      <w:pPr>
        <w:pStyle w:val="12"/>
        <w:ind w:firstLine="480"/>
        <w:jc w:val="both"/>
      </w:pPr>
      <w:r>
        <w:t>现附上我方具备履行合同所必需的设备和专业技术能力的专项证明材料复印件（具体附后），上述证明材料真实有效，否则我方负全部责任。</w:t>
      </w:r>
    </w:p>
    <w:p>
      <w:pPr>
        <w:pStyle w:val="12"/>
        <w:ind w:firstLine="480"/>
        <w:jc w:val="both"/>
      </w:pPr>
      <w:r>
        <w:t>※注意：</w:t>
      </w:r>
    </w:p>
    <w:p>
      <w:pPr>
        <w:pStyle w:val="12"/>
        <w:ind w:firstLine="480"/>
        <w:jc w:val="both"/>
      </w:pPr>
      <w:r>
        <w:t>1、招标文件要求投标人提供“具备履行合同所必需的设备和专业技术能力专项证明材料”的，投标人应按照招标文件规定在此项下提供相应证明材料复印件。</w:t>
      </w:r>
    </w:p>
    <w:p>
      <w:pPr>
        <w:pStyle w:val="12"/>
        <w:ind w:firstLine="480"/>
        <w:jc w:val="both"/>
      </w:pPr>
      <w:r>
        <w:t>2、投标人提供的相应证明材料复印件均应符合：内容完整、清晰、整洁，并由投标人加盖其单位公章。</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jc w:val="both"/>
      </w:pPr>
      <w:r>
        <w:t xml:space="preserve"> </w:t>
      </w:r>
    </w:p>
    <w:p>
      <w:pPr>
        <w:pStyle w:val="12"/>
        <w:jc w:val="center"/>
        <w:outlineLvl w:val="3"/>
      </w:pPr>
      <w:r>
        <w:rPr>
          <w:b/>
          <w:sz w:val="24"/>
        </w:rPr>
        <w:t>二-12-②招标文件规定的其他资格证明文件（若有）</w:t>
      </w:r>
    </w:p>
    <w:p>
      <w:pPr>
        <w:pStyle w:val="12"/>
        <w:ind w:firstLine="480"/>
        <w:jc w:val="center"/>
      </w:pPr>
      <w:r>
        <w:t>编制说明</w:t>
      </w:r>
    </w:p>
    <w:p>
      <w:pPr>
        <w:pStyle w:val="12"/>
        <w:ind w:firstLine="480"/>
        <w:jc w:val="both"/>
      </w:pPr>
      <w:r>
        <w:t>除招标文件另有规定外，招标文件要求提交的除前述资格证明文件外的其他资格证明文件（若有）加盖投标人的单位公章后应在此项下提交。</w:t>
      </w:r>
    </w:p>
    <w:p>
      <w:pPr>
        <w:pStyle w:val="12"/>
        <w:jc w:val="both"/>
      </w:pPr>
    </w:p>
    <w:p>
      <w:pPr>
        <w:pStyle w:val="12"/>
        <w:jc w:val="both"/>
      </w:pPr>
      <w:r>
        <w:t xml:space="preserve"> </w:t>
      </w:r>
    </w:p>
    <w:p>
      <w:pPr>
        <w:pStyle w:val="12"/>
        <w:jc w:val="center"/>
        <w:outlineLvl w:val="2"/>
      </w:pPr>
      <w:r>
        <w:rPr>
          <w:b/>
          <w:sz w:val="28"/>
        </w:rPr>
        <w:t>三、投标保证金</w:t>
      </w:r>
    </w:p>
    <w:p>
      <w:pPr>
        <w:pStyle w:val="12"/>
        <w:ind w:firstLine="480"/>
        <w:jc w:val="center"/>
      </w:pPr>
      <w:r>
        <w:t>编制说明</w:t>
      </w:r>
    </w:p>
    <w:p>
      <w:pPr>
        <w:pStyle w:val="12"/>
        <w:ind w:firstLine="480"/>
        <w:jc w:val="both"/>
      </w:pPr>
      <w:r>
        <w:t>1、在此项下提交的“投标保证金”材料可使用转账凭证复印件或从福建省政府采购网上公开信息系统中下载的有关原始页面的打印件。</w:t>
      </w:r>
    </w:p>
    <w:p>
      <w:pPr>
        <w:pStyle w:val="12"/>
        <w:ind w:firstLine="480"/>
        <w:jc w:val="both"/>
      </w:pPr>
      <w:r>
        <w:t>2、投标保证金是否已提交的认定按照招标文件第三章规定执行。</w:t>
      </w:r>
    </w:p>
    <w:p>
      <w:pPr>
        <w:pStyle w:val="12"/>
        <w:jc w:val="both"/>
      </w:pPr>
    </w:p>
    <w:p>
      <w:pPr>
        <w:pStyle w:val="12"/>
        <w:jc w:val="both"/>
      </w:pPr>
      <w:r>
        <w:t xml:space="preserve"> </w:t>
      </w:r>
    </w:p>
    <w:p>
      <w:pPr>
        <w:pStyle w:val="12"/>
        <w:jc w:val="center"/>
        <w:outlineLvl w:val="2"/>
      </w:pPr>
      <w:r>
        <w:rPr>
          <w:b/>
          <w:sz w:val="28"/>
        </w:rPr>
        <w:t>封面格式(报价部分)</w:t>
      </w:r>
    </w:p>
    <w:p>
      <w:pPr>
        <w:pStyle w:val="12"/>
        <w:jc w:val="center"/>
        <w:outlineLvl w:val="0"/>
      </w:pPr>
      <w:r>
        <w:rPr>
          <w:b/>
          <w:sz w:val="48"/>
        </w:rPr>
        <w:t>福建省政府采购投标文件</w:t>
      </w:r>
    </w:p>
    <w:p>
      <w:pPr>
        <w:pStyle w:val="12"/>
        <w:jc w:val="center"/>
        <w:outlineLvl w:val="0"/>
      </w:pPr>
      <w:r>
        <w:rPr>
          <w:b/>
          <w:sz w:val="48"/>
        </w:rPr>
        <w:t>（报价部分）</w:t>
      </w:r>
      <w:r>
        <w:br w:type="textWrapping"/>
      </w:r>
      <w:r>
        <w:br w:type="textWrapping"/>
      </w:r>
      <w:r>
        <w:br w:type="textWrapping"/>
      </w:r>
    </w:p>
    <w:p>
      <w:pPr>
        <w:pStyle w:val="12"/>
        <w:jc w:val="center"/>
        <w:outlineLvl w:val="1"/>
      </w:pPr>
      <w:r>
        <w:rPr>
          <w:b/>
          <w:sz w:val="36"/>
        </w:rPr>
        <w:t>（填写正本或副本）</w:t>
      </w:r>
      <w:r>
        <w:br w:type="textWrapping"/>
      </w:r>
      <w:r>
        <w:br w:type="textWrapping"/>
      </w:r>
      <w:r>
        <w:br w:type="textWrapping"/>
      </w:r>
      <w:r>
        <w:br w:type="textWrapping"/>
      </w:r>
      <w:r>
        <w:br w:type="textWrapping"/>
      </w:r>
    </w:p>
    <w:p>
      <w:pPr>
        <w:pStyle w:val="12"/>
        <w:jc w:val="center"/>
        <w:outlineLvl w:val="2"/>
      </w:pPr>
      <w:r>
        <w:rPr>
          <w:b/>
          <w:sz w:val="28"/>
        </w:rPr>
        <w:t>（项目名称：（由投标人填写）</w:t>
      </w:r>
    </w:p>
    <w:p>
      <w:pPr>
        <w:pStyle w:val="12"/>
        <w:jc w:val="center"/>
        <w:outlineLvl w:val="2"/>
      </w:pPr>
      <w:r>
        <w:rPr>
          <w:b/>
          <w:sz w:val="28"/>
        </w:rPr>
        <w:t>（备案编号：（由投标人填写）</w:t>
      </w:r>
    </w:p>
    <w:p>
      <w:pPr>
        <w:pStyle w:val="12"/>
        <w:jc w:val="center"/>
        <w:outlineLvl w:val="2"/>
      </w:pPr>
      <w:r>
        <w:rPr>
          <w:b/>
          <w:sz w:val="28"/>
        </w:rPr>
        <w:t>（项目编号：（由投标人填写）</w:t>
      </w:r>
    </w:p>
    <w:p>
      <w:pPr>
        <w:pStyle w:val="12"/>
        <w:jc w:val="center"/>
        <w:outlineLvl w:val="2"/>
      </w:pPr>
      <w:r>
        <w:rPr>
          <w:b/>
          <w:sz w:val="28"/>
        </w:rPr>
        <w:t>（所投采购包：（由投标人填写）</w:t>
      </w:r>
      <w:r>
        <w:br w:type="textWrapping"/>
      </w:r>
      <w:r>
        <w:br w:type="textWrapping"/>
      </w:r>
    </w:p>
    <w:p>
      <w:pPr>
        <w:pStyle w:val="12"/>
        <w:jc w:val="center"/>
        <w:outlineLvl w:val="2"/>
      </w:pPr>
      <w:r>
        <w:rPr>
          <w:b/>
          <w:sz w:val="28"/>
        </w:rPr>
        <w:t>投标人：（填写“全称”）</w:t>
      </w:r>
    </w:p>
    <w:p>
      <w:pPr>
        <w:pStyle w:val="12"/>
        <w:jc w:val="center"/>
        <w:outlineLvl w:val="2"/>
      </w:pPr>
      <w:r>
        <w:rPr>
          <w:b/>
          <w:sz w:val="28"/>
        </w:rPr>
        <w:t>（由投标人填写）年（由投标人填写）月</w:t>
      </w:r>
    </w:p>
    <w:p>
      <w:pPr>
        <w:pStyle w:val="12"/>
        <w:jc w:val="both"/>
      </w:pPr>
    </w:p>
    <w:p>
      <w:pPr>
        <w:pStyle w:val="12"/>
        <w:jc w:val="both"/>
      </w:pPr>
      <w:r>
        <w:t xml:space="preserve"> </w:t>
      </w:r>
    </w:p>
    <w:p>
      <w:pPr>
        <w:pStyle w:val="12"/>
        <w:jc w:val="center"/>
        <w:outlineLvl w:val="2"/>
      </w:pPr>
      <w:r>
        <w:rPr>
          <w:b/>
          <w:sz w:val="28"/>
        </w:rPr>
        <w:t>索引</w:t>
      </w:r>
    </w:p>
    <w:p>
      <w:pPr>
        <w:pStyle w:val="12"/>
        <w:ind w:firstLine="480"/>
        <w:jc w:val="both"/>
      </w:pPr>
      <w:r>
        <w:t>一、开标一览表</w:t>
      </w:r>
    </w:p>
    <w:p>
      <w:pPr>
        <w:pStyle w:val="12"/>
        <w:ind w:firstLine="480"/>
        <w:jc w:val="both"/>
      </w:pPr>
      <w:r>
        <w:t>二、投标分项报价表</w:t>
      </w:r>
    </w:p>
    <w:p>
      <w:pPr>
        <w:pStyle w:val="12"/>
        <w:ind w:firstLine="480"/>
        <w:jc w:val="both"/>
      </w:pPr>
      <w:r>
        <w:t>三、招标文件规定的价格扣除证明材料（若有）</w:t>
      </w:r>
    </w:p>
    <w:p>
      <w:pPr>
        <w:pStyle w:val="12"/>
        <w:ind w:firstLine="480"/>
        <w:jc w:val="both"/>
      </w:pPr>
      <w:r>
        <w:t>四、招标文件规定的加分证明材料（若有）</w:t>
      </w:r>
    </w:p>
    <w:p>
      <w:pPr>
        <w:pStyle w:val="12"/>
        <w:jc w:val="both"/>
      </w:pPr>
    </w:p>
    <w:p>
      <w:pPr>
        <w:pStyle w:val="12"/>
        <w:jc w:val="both"/>
      </w:pPr>
      <w:r>
        <w:t xml:space="preserve"> </w:t>
      </w:r>
    </w:p>
    <w:p>
      <w:pPr>
        <w:pStyle w:val="12"/>
        <w:jc w:val="center"/>
        <w:outlineLvl w:val="2"/>
      </w:pPr>
      <w:r>
        <w:rPr>
          <w:b/>
          <w:sz w:val="28"/>
        </w:rPr>
        <w:t>一、开标一览表</w:t>
      </w:r>
    </w:p>
    <w:p>
      <w:pPr>
        <w:pStyle w:val="12"/>
        <w:ind w:firstLine="480"/>
        <w:jc w:val="both"/>
      </w:pPr>
      <w:r>
        <w:t>项目编号：</w:t>
      </w:r>
      <w:r>
        <w:rPr>
          <w:u w:val="single"/>
        </w:rPr>
        <w:t>　　　　　　　　</w:t>
      </w:r>
    </w:p>
    <w:p>
      <w:pPr>
        <w:pStyle w:val="12"/>
        <w:ind w:firstLine="480"/>
        <w:jc w:val="right"/>
      </w:pPr>
      <w:r>
        <w:t>货币及单位：人民币元</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2076"/>
        <w:gridCol w:w="2076"/>
        <w:gridCol w:w="207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pStyle w:val="12"/>
              <w:jc w:val="both"/>
            </w:pPr>
            <w:r>
              <w:t>采购包</w:t>
            </w:r>
          </w:p>
        </w:tc>
        <w:tc>
          <w:tcPr>
            <w:tcW w:w="2076" w:type="dxa"/>
          </w:tcPr>
          <w:p>
            <w:pPr>
              <w:pStyle w:val="12"/>
              <w:jc w:val="both"/>
            </w:pPr>
            <w:r>
              <w:t>投标报价</w:t>
            </w:r>
          </w:p>
        </w:tc>
        <w:tc>
          <w:tcPr>
            <w:tcW w:w="2076" w:type="dxa"/>
          </w:tcPr>
          <w:p>
            <w:pPr>
              <w:pStyle w:val="12"/>
              <w:jc w:val="both"/>
            </w:pPr>
            <w:r>
              <w:t>投标保证金</w:t>
            </w:r>
          </w:p>
        </w:tc>
        <w:tc>
          <w:tcPr>
            <w:tcW w:w="2076" w:type="dxa"/>
          </w:tcPr>
          <w:p>
            <w:pPr>
              <w:pStyle w:val="12"/>
              <w:jc w:val="both"/>
            </w:pPr>
            <w: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pStyle w:val="12"/>
              <w:jc w:val="both"/>
            </w:pPr>
            <w:r>
              <w:t>*</w:t>
            </w:r>
          </w:p>
        </w:tc>
        <w:tc>
          <w:tcPr>
            <w:tcW w:w="2076" w:type="dxa"/>
          </w:tcPr>
          <w:p>
            <w:pPr>
              <w:pStyle w:val="12"/>
              <w:jc w:val="both"/>
            </w:pPr>
            <w:r>
              <w:t>投标总价（大写金额）：</w:t>
            </w:r>
            <w:r>
              <w:rPr>
                <w:u w:val="single"/>
              </w:rPr>
              <w:t>　　　　　　　　</w:t>
            </w:r>
          </w:p>
        </w:tc>
        <w:tc>
          <w:tcPr>
            <w:tcW w:w="2076" w:type="dxa"/>
          </w:tcPr>
          <w:p/>
        </w:tc>
        <w:tc>
          <w:tcPr>
            <w:tcW w:w="2076" w:type="dxa"/>
            <w:vMerge w:val="restart"/>
          </w:tcPr>
          <w:p>
            <w:pPr>
              <w:pStyle w:val="12"/>
              <w:jc w:val="both"/>
            </w:pPr>
            <w:r>
              <w:t>a.&gt;投标报价的明细：详见《投标分项报价表》。</w:t>
            </w:r>
          </w:p>
          <w:p>
            <w:pPr>
              <w:pStyle w:val="12"/>
              <w:jc w:val="both"/>
            </w:pPr>
            <w:r>
              <w:t>b.&gt;招标文件规定的价格扣除证明材料（若有）：详见报价部分。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pStyle w:val="12"/>
              <w:jc w:val="both"/>
            </w:pPr>
            <w:r>
              <w:t>…</w:t>
            </w:r>
          </w:p>
        </w:tc>
        <w:tc>
          <w:tcPr>
            <w:tcW w:w="2076" w:type="dxa"/>
          </w:tcPr>
          <w:p>
            <w:pPr>
              <w:pStyle w:val="12"/>
              <w:jc w:val="both"/>
            </w:pPr>
            <w:r>
              <w:t>投标总价（大写金额）：</w:t>
            </w:r>
            <w:r>
              <w:rPr>
                <w:u w:val="single"/>
              </w:rPr>
              <w:t>　　　　　　　　</w:t>
            </w:r>
          </w:p>
        </w:tc>
        <w:tc>
          <w:tcPr>
            <w:tcW w:w="2076" w:type="dxa"/>
          </w:tcPr>
          <w:p/>
        </w:tc>
        <w:tc>
          <w:tcPr>
            <w:tcW w:w="2076" w:type="dxa"/>
            <w:vMerge w:val="continue"/>
          </w:tcPr>
          <w:p/>
        </w:tc>
      </w:tr>
    </w:tbl>
    <w:p>
      <w:pPr>
        <w:pStyle w:val="12"/>
        <w:ind w:firstLine="480"/>
        <w:jc w:val="both"/>
      </w:pPr>
      <w:r>
        <w:t>※注意：</w:t>
      </w:r>
    </w:p>
    <w:p>
      <w:pPr>
        <w:pStyle w:val="12"/>
        <w:ind w:firstLine="480"/>
        <w:jc w:val="both"/>
      </w:pPr>
      <w:r>
        <w:t>1、本表应按照下列规定填写：</w:t>
      </w:r>
    </w:p>
    <w:p>
      <w:pPr>
        <w:pStyle w:val="12"/>
        <w:ind w:firstLine="480"/>
        <w:jc w:val="both"/>
      </w:pPr>
      <w:r>
        <w:t>1.1投标人应按照本表格式填写所投的采购包的“投标报价”。</w:t>
      </w:r>
    </w:p>
    <w:p>
      <w:pPr>
        <w:pStyle w:val="12"/>
        <w:ind w:firstLine="480"/>
        <w:jc w:val="both"/>
      </w:pPr>
      <w:r>
        <w:t>1.2本表中列示的“采购包”应与《投标分项报价表》中列示的“采购包”保持一致，即：若本表中列示的“采购包”为“1”时，《投标分项报价表》中列示的“采购包”亦应为“1”，以此类推。</w:t>
      </w:r>
    </w:p>
    <w:p>
      <w:pPr>
        <w:pStyle w:val="12"/>
        <w:ind w:firstLine="480"/>
        <w:jc w:val="both"/>
      </w:pPr>
      <w:r>
        <w:t>1.3“大写金额”指“投标报价”应用“壹、贰、叁、肆、伍、陆、柒、捌、玖、拾、佰、仟、万、亿、元、角、分、零”等进行填写。</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jc w:val="both"/>
      </w:pPr>
    </w:p>
    <w:p>
      <w:pPr>
        <w:pStyle w:val="12"/>
        <w:jc w:val="both"/>
      </w:pPr>
      <w:r>
        <w:t xml:space="preserve"> </w:t>
      </w:r>
    </w:p>
    <w:p>
      <w:pPr>
        <w:pStyle w:val="12"/>
        <w:jc w:val="center"/>
        <w:outlineLvl w:val="2"/>
      </w:pPr>
      <w:r>
        <w:rPr>
          <w:b/>
          <w:sz w:val="28"/>
        </w:rPr>
        <w:t>二、投标分项报价表</w:t>
      </w:r>
    </w:p>
    <w:p>
      <w:pPr>
        <w:pStyle w:val="12"/>
        <w:ind w:firstLine="480"/>
        <w:jc w:val="both"/>
      </w:pPr>
      <w:r>
        <w:t>项目编号：</w:t>
      </w:r>
      <w:r>
        <w:rPr>
          <w:u w:val="single"/>
        </w:rPr>
        <w:t>　　　　　　　　</w:t>
      </w:r>
    </w:p>
    <w:p>
      <w:pPr>
        <w:pStyle w:val="12"/>
        <w:ind w:firstLine="480"/>
        <w:jc w:val="right"/>
      </w:pPr>
      <w:r>
        <w:t>货币及单位：人民币元</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3"/>
        <w:gridCol w:w="923"/>
        <w:gridCol w:w="923"/>
        <w:gridCol w:w="923"/>
        <w:gridCol w:w="923"/>
        <w:gridCol w:w="923"/>
        <w:gridCol w:w="923"/>
        <w:gridCol w:w="923"/>
        <w:gridCol w:w="92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pPr>
              <w:pStyle w:val="12"/>
              <w:jc w:val="both"/>
            </w:pPr>
            <w:r>
              <w:t>采购包</w:t>
            </w:r>
          </w:p>
        </w:tc>
        <w:tc>
          <w:tcPr>
            <w:tcW w:w="923" w:type="dxa"/>
          </w:tcPr>
          <w:p>
            <w:pPr>
              <w:pStyle w:val="12"/>
              <w:jc w:val="both"/>
            </w:pPr>
            <w:r>
              <w:t>品目号</w:t>
            </w:r>
          </w:p>
        </w:tc>
        <w:tc>
          <w:tcPr>
            <w:tcW w:w="923" w:type="dxa"/>
          </w:tcPr>
          <w:p>
            <w:pPr>
              <w:pStyle w:val="12"/>
              <w:jc w:val="both"/>
            </w:pPr>
            <w:r>
              <w:t>投标标的</w:t>
            </w:r>
          </w:p>
        </w:tc>
        <w:tc>
          <w:tcPr>
            <w:tcW w:w="923" w:type="dxa"/>
          </w:tcPr>
          <w:p>
            <w:pPr>
              <w:pStyle w:val="12"/>
              <w:jc w:val="both"/>
            </w:pPr>
            <w:r>
              <w:t>规格</w:t>
            </w:r>
          </w:p>
        </w:tc>
        <w:tc>
          <w:tcPr>
            <w:tcW w:w="923" w:type="dxa"/>
          </w:tcPr>
          <w:p>
            <w:pPr>
              <w:pStyle w:val="12"/>
              <w:jc w:val="both"/>
            </w:pPr>
            <w:r>
              <w:t>来源地</w:t>
            </w:r>
          </w:p>
        </w:tc>
        <w:tc>
          <w:tcPr>
            <w:tcW w:w="923" w:type="dxa"/>
          </w:tcPr>
          <w:p>
            <w:pPr>
              <w:pStyle w:val="12"/>
              <w:jc w:val="both"/>
            </w:pPr>
            <w:r>
              <w:t>单价（现场）</w:t>
            </w:r>
          </w:p>
        </w:tc>
        <w:tc>
          <w:tcPr>
            <w:tcW w:w="923" w:type="dxa"/>
          </w:tcPr>
          <w:p>
            <w:pPr>
              <w:pStyle w:val="12"/>
              <w:jc w:val="both"/>
            </w:pPr>
            <w:r>
              <w:t>数量</w:t>
            </w:r>
          </w:p>
        </w:tc>
        <w:tc>
          <w:tcPr>
            <w:tcW w:w="923" w:type="dxa"/>
          </w:tcPr>
          <w:p>
            <w:pPr>
              <w:pStyle w:val="12"/>
              <w:jc w:val="both"/>
            </w:pPr>
            <w:r>
              <w:t>总价（现场）</w:t>
            </w:r>
          </w:p>
        </w:tc>
        <w:tc>
          <w:tcPr>
            <w:tcW w:w="923" w:type="dxa"/>
          </w:tcPr>
          <w:p>
            <w:pPr>
              <w:pStyle w:val="12"/>
              <w:jc w:val="both"/>
            </w:pPr>
            <w: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Merge w:val="restart"/>
          </w:tcPr>
          <w:p>
            <w:pPr>
              <w:pStyle w:val="12"/>
              <w:jc w:val="both"/>
            </w:pPr>
            <w:r>
              <w:t>*</w:t>
            </w:r>
          </w:p>
        </w:tc>
        <w:tc>
          <w:tcPr>
            <w:tcW w:w="923" w:type="dxa"/>
          </w:tcPr>
          <w:p>
            <w:pPr>
              <w:pStyle w:val="12"/>
              <w:jc w:val="both"/>
            </w:pPr>
            <w:r>
              <w:t>*-1</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Merge w:val="continue"/>
          </w:tcPr>
          <w:p/>
        </w:tc>
        <w:tc>
          <w:tcPr>
            <w:tcW w:w="923" w:type="dxa"/>
          </w:tcPr>
          <w:p>
            <w:pPr>
              <w:pStyle w:val="12"/>
              <w:jc w:val="both"/>
            </w:pPr>
            <w:r>
              <w:t>…</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pPr>
              <w:pStyle w:val="12"/>
              <w:jc w:val="both"/>
            </w:pPr>
            <w:r>
              <w:t>…</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bl>
    <w:p>
      <w:pPr>
        <w:pStyle w:val="12"/>
        <w:ind w:firstLine="480"/>
        <w:jc w:val="both"/>
      </w:pPr>
      <w:r>
        <w:t>※注意：</w:t>
      </w:r>
    </w:p>
    <w:p>
      <w:pPr>
        <w:pStyle w:val="12"/>
        <w:ind w:firstLine="480"/>
        <w:jc w:val="both"/>
      </w:pPr>
      <w:r>
        <w:t>1、本表应按照下列规定填写：</w:t>
      </w:r>
    </w:p>
    <w:p>
      <w:pPr>
        <w:pStyle w:val="12"/>
        <w:ind w:firstLine="480"/>
        <w:jc w:val="both"/>
      </w:pPr>
      <w:r>
        <w:t>1.1投标人应按照本表格式填写所投采购包的分项报价，其中：“采购包”、“品目号”、“投标标的”及“数量”应与招标文件《采购标的一览表》中的有关内容（“采购包”、“品目号”、“采购标的”及“数量”）保持一致，“采购包”还应与《开标一览表》中列示的“采购包”保持一致，即：若《开标一览表》中列示的“采购包”为“1”时，本表中列示的“采购包”亦应为“1”，以此类推。</w:t>
      </w:r>
    </w:p>
    <w:p>
      <w:pPr>
        <w:pStyle w:val="12"/>
        <w:ind w:firstLine="480"/>
        <w:jc w:val="both"/>
      </w:pPr>
      <w:r>
        <w:t>1.2“投标标的”为货物的：“规格”项下应填写货物制造厂商赋予的品牌（属于节能、环保清单产品的货物，填写的品牌名称应与清单载明的品牌名称保持一致）及具体型号。“来源地”应填写货物的原产地。</w:t>
      </w:r>
    </w:p>
    <w:p>
      <w:pPr>
        <w:pStyle w:val="12"/>
        <w:ind w:firstLine="480"/>
        <w:jc w:val="both"/>
      </w:pPr>
      <w:r>
        <w:t>1.3“投标标的”为服务的：“规格”项下应填写服务提供者提供的服务标准及品牌（若有）。“来源地”应填写服务提供者的所在地。</w:t>
      </w:r>
    </w:p>
    <w:p>
      <w:pPr>
        <w:pStyle w:val="12"/>
        <w:ind w:firstLine="480"/>
        <w:jc w:val="both"/>
      </w:pPr>
      <w:r>
        <w:t>1.4同一采购包中，“单价（现场）”×“数量”=“总价（现场）”，全部品目号“总价（现场）”的合计金额应与《开标一览表》中相应采购包列示的“投标总价”保持一致。</w:t>
      </w:r>
    </w:p>
    <w:p>
      <w:pPr>
        <w:pStyle w:val="12"/>
        <w:ind w:firstLine="480"/>
        <w:jc w:val="both"/>
      </w:pPr>
      <w:r>
        <w:t>1.5若招标文件要求投标人对“备品备件价格、专用工具价格、技术服务费、安装调试费、检验培训费、运输费、保险费、税收”等进行报价的，请在本表的“备注”项下填写。</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jc w:val="both"/>
      </w:pPr>
    </w:p>
    <w:p>
      <w:pPr>
        <w:pStyle w:val="12"/>
        <w:jc w:val="both"/>
      </w:pPr>
      <w:r>
        <w:t xml:space="preserve"> </w:t>
      </w:r>
    </w:p>
    <w:p>
      <w:pPr>
        <w:pStyle w:val="12"/>
        <w:jc w:val="center"/>
        <w:outlineLvl w:val="2"/>
      </w:pPr>
      <w:r>
        <w:rPr>
          <w:b/>
          <w:sz w:val="28"/>
        </w:rPr>
        <w:t>三、招标文件规定的价格扣除证明材料（若有）</w:t>
      </w:r>
    </w:p>
    <w:p>
      <w:pPr>
        <w:pStyle w:val="12"/>
        <w:jc w:val="center"/>
        <w:outlineLvl w:val="3"/>
      </w:pPr>
      <w:r>
        <w:rPr>
          <w:b/>
          <w:sz w:val="24"/>
        </w:rPr>
        <w:t>三-1优先类节能产品、环境标志产品价格扣除证明材料（若有）</w:t>
      </w:r>
    </w:p>
    <w:p>
      <w:pPr>
        <w:pStyle w:val="12"/>
        <w:jc w:val="center"/>
        <w:outlineLvl w:val="3"/>
      </w:pPr>
      <w:r>
        <w:rPr>
          <w:b/>
          <w:sz w:val="24"/>
        </w:rPr>
        <w:t>三-1-①优先类节能产品、环境标志产品统计表（价格扣除适用，若有）</w:t>
      </w:r>
    </w:p>
    <w:p>
      <w:pPr>
        <w:pStyle w:val="12"/>
        <w:ind w:firstLine="480"/>
        <w:jc w:val="both"/>
      </w:pPr>
      <w:r>
        <w:t>项目编号：</w:t>
      </w:r>
      <w:r>
        <w:rPr>
          <w:u w:val="single"/>
        </w:rPr>
        <w:t>　　　　　　　　</w:t>
      </w:r>
    </w:p>
    <w:p>
      <w:pPr>
        <w:pStyle w:val="12"/>
        <w:ind w:firstLine="480"/>
        <w:jc w:val="right"/>
      </w:pPr>
      <w:r>
        <w:t>货币及单位：人民币元</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tc>
        <w:tc>
          <w:tcPr>
            <w:tcW w:w="7122" w:type="dxa"/>
            <w:gridSpan w:val="6"/>
          </w:tcPr>
          <w:p>
            <w:pPr>
              <w:pStyle w:val="12"/>
              <w:jc w:val="center"/>
            </w:pPr>
            <w:r>
              <w:t>本采购包内属于节能、环境标志产品的情况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12"/>
              <w:jc w:val="both"/>
            </w:pPr>
            <w:r>
              <w:t>采购包</w:t>
            </w:r>
          </w:p>
        </w:tc>
        <w:tc>
          <w:tcPr>
            <w:tcW w:w="1187" w:type="dxa"/>
          </w:tcPr>
          <w:p>
            <w:pPr>
              <w:pStyle w:val="12"/>
              <w:jc w:val="both"/>
            </w:pPr>
            <w:r>
              <w:t>品目号</w:t>
            </w:r>
          </w:p>
        </w:tc>
        <w:tc>
          <w:tcPr>
            <w:tcW w:w="1187" w:type="dxa"/>
          </w:tcPr>
          <w:p>
            <w:pPr>
              <w:pStyle w:val="12"/>
              <w:jc w:val="both"/>
            </w:pPr>
            <w:r>
              <w:t>货物名称</w:t>
            </w:r>
          </w:p>
        </w:tc>
        <w:tc>
          <w:tcPr>
            <w:tcW w:w="1187" w:type="dxa"/>
          </w:tcPr>
          <w:p>
            <w:pPr>
              <w:pStyle w:val="12"/>
              <w:jc w:val="both"/>
            </w:pPr>
            <w:r>
              <w:t>单价（现场）</w:t>
            </w:r>
          </w:p>
        </w:tc>
        <w:tc>
          <w:tcPr>
            <w:tcW w:w="1187" w:type="dxa"/>
          </w:tcPr>
          <w:p>
            <w:pPr>
              <w:pStyle w:val="12"/>
              <w:jc w:val="both"/>
            </w:pPr>
            <w:r>
              <w:t>数量</w:t>
            </w:r>
          </w:p>
        </w:tc>
        <w:tc>
          <w:tcPr>
            <w:tcW w:w="1187" w:type="dxa"/>
          </w:tcPr>
          <w:p>
            <w:pPr>
              <w:pStyle w:val="12"/>
              <w:jc w:val="both"/>
            </w:pPr>
            <w:r>
              <w:t>总价（现场）</w:t>
            </w:r>
          </w:p>
        </w:tc>
        <w:tc>
          <w:tcPr>
            <w:tcW w:w="1187" w:type="dxa"/>
          </w:tcPr>
          <w:p>
            <w:pPr>
              <w:pStyle w:val="12"/>
              <w:jc w:val="both"/>
            </w:pPr>
            <w:r>
              <w:t>认证种类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restart"/>
          </w:tcPr>
          <w:p>
            <w:pPr>
              <w:pStyle w:val="12"/>
              <w:jc w:val="both"/>
            </w:pPr>
            <w:r>
              <w:t>*</w:t>
            </w:r>
          </w:p>
        </w:tc>
        <w:tc>
          <w:tcPr>
            <w:tcW w:w="1187" w:type="dxa"/>
          </w:tcPr>
          <w:p>
            <w:pPr>
              <w:pStyle w:val="12"/>
              <w:jc w:val="both"/>
            </w:pPr>
            <w:r>
              <w:t>*-1</w:t>
            </w: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continue"/>
          </w:tcPr>
          <w:p/>
        </w:tc>
        <w:tc>
          <w:tcPr>
            <w:tcW w:w="1187" w:type="dxa"/>
          </w:tcPr>
          <w:p>
            <w:pPr>
              <w:pStyle w:val="12"/>
              <w:jc w:val="both"/>
            </w:pPr>
            <w:r>
              <w:t>…</w:t>
            </w: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12"/>
              <w:jc w:val="both"/>
            </w:pPr>
            <w:r>
              <w:t>备注</w:t>
            </w:r>
          </w:p>
        </w:tc>
        <w:tc>
          <w:tcPr>
            <w:tcW w:w="7122" w:type="dxa"/>
            <w:gridSpan w:val="6"/>
          </w:tcPr>
          <w:p>
            <w:pPr>
              <w:pStyle w:val="12"/>
              <w:jc w:val="both"/>
            </w:pPr>
            <w:r>
              <w:t>a.采购包内属于节能、环境标志产品的报价总金额：</w:t>
            </w:r>
            <w:r>
              <w:rPr>
                <w:u w:val="single"/>
              </w:rPr>
              <w:t>　　　　　</w:t>
            </w:r>
            <w:r>
              <w:t>；</w:t>
            </w:r>
          </w:p>
          <w:p>
            <w:pPr>
              <w:pStyle w:val="12"/>
              <w:jc w:val="both"/>
            </w:pPr>
            <w:r>
              <w:t>b.采购包投标总价（报价总金额）：</w:t>
            </w:r>
            <w:r>
              <w:rPr>
                <w:u w:val="single"/>
              </w:rPr>
              <w:t>　　　　　</w:t>
            </w:r>
            <w:r>
              <w:t>；</w:t>
            </w:r>
          </w:p>
          <w:p>
            <w:pPr>
              <w:pStyle w:val="12"/>
              <w:jc w:val="both"/>
            </w:pPr>
            <w:r>
              <w:t>c.“采购包内属于节能、环境标志产品的报价总金额”占“采购包投标总价（报价总金额）”的比例（以%列示）：</w:t>
            </w:r>
            <w:r>
              <w:rPr>
                <w:u w:val="single"/>
              </w:rPr>
              <w:t>　　　　　</w:t>
            </w:r>
            <w:r>
              <w:t>；</w:t>
            </w:r>
          </w:p>
        </w:tc>
      </w:tr>
    </w:tbl>
    <w:p>
      <w:pPr>
        <w:pStyle w:val="12"/>
        <w:ind w:firstLine="480"/>
        <w:jc w:val="both"/>
      </w:pPr>
      <w:r>
        <w:t>※注意：</w:t>
      </w:r>
    </w:p>
    <w:p>
      <w:pPr>
        <w:pStyle w:val="12"/>
        <w:ind w:firstLine="480"/>
        <w:jc w:val="both"/>
      </w:pPr>
      <w:r>
        <w:t>1、对节能、环境标志产品计算价格扣除时，只依据电子投标文件“三-1-②优先类节能产品、环境标志产品证明材料（价格扣除适用，若有）”。</w:t>
      </w:r>
    </w:p>
    <w:p>
      <w:pPr>
        <w:pStyle w:val="12"/>
        <w:ind w:firstLine="480"/>
        <w:jc w:val="both"/>
      </w:pPr>
      <w:r>
        <w:t>2、本表以采购包为单位，不同采购包请分别填写；同一采购包请按照其品目号顺序分别填写。</w:t>
      </w:r>
    </w:p>
    <w:p>
      <w:pPr>
        <w:pStyle w:val="12"/>
        <w:ind w:firstLine="480"/>
        <w:jc w:val="both"/>
      </w:pPr>
      <w:r>
        <w:t>3、具体统计、计算：</w:t>
      </w:r>
    </w:p>
    <w:p>
      <w:pPr>
        <w:pStyle w:val="12"/>
        <w:ind w:firstLine="480"/>
        <w:jc w:val="both"/>
      </w:pPr>
      <w:r>
        <w:t>3.1若节能、环境标志产品仅是构成投标产品的部件、组件或零件，则该投标产品不享受鼓励优惠政策。同一品目中各认证证书不重复计算价格扣除。强制类节能产品不享受价格扣除。</w:t>
      </w:r>
    </w:p>
    <w:p>
      <w:pPr>
        <w:pStyle w:val="12"/>
        <w:ind w:firstLine="480"/>
        <w:jc w:val="both"/>
      </w:pPr>
      <w:r>
        <w:t>3.2计算结果若除不尽，可四舍五入保留到小数点后两位。</w:t>
      </w:r>
    </w:p>
    <w:p>
      <w:pPr>
        <w:pStyle w:val="12"/>
        <w:ind w:firstLine="480"/>
        <w:jc w:val="both"/>
      </w:pPr>
      <w:r>
        <w:t>3.3投标人应按照招标文件要求认真统计、计算，否则评标委员会不予认定。</w:t>
      </w:r>
    </w:p>
    <w:p>
      <w:pPr>
        <w:pStyle w:val="12"/>
        <w:ind w:firstLine="480"/>
        <w:jc w:val="both"/>
      </w:pPr>
      <w:r>
        <w:t>3.4若无节能、环境标志产品，不填写本表，否则，视为提供虚假材料。</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jc w:val="both"/>
      </w:pPr>
      <w:r>
        <w:t xml:space="preserve"> </w:t>
      </w:r>
    </w:p>
    <w:p>
      <w:pPr>
        <w:pStyle w:val="12"/>
        <w:jc w:val="center"/>
        <w:outlineLvl w:val="3"/>
      </w:pPr>
      <w:r>
        <w:rPr>
          <w:b/>
          <w:sz w:val="24"/>
        </w:rPr>
        <w:t>三-1-②优先类节能产品、环境标志产品证明材料（价格扣除适用，若有）</w:t>
      </w:r>
    </w:p>
    <w:p>
      <w:pPr>
        <w:pStyle w:val="12"/>
        <w:jc w:val="center"/>
        <w:outlineLvl w:val="3"/>
      </w:pPr>
      <w:r>
        <w:rPr>
          <w:b/>
          <w:sz w:val="24"/>
        </w:rPr>
        <w:t>三-2小型、微型企业产品等价格扣除证明材料（若有）</w:t>
      </w:r>
    </w:p>
    <w:p>
      <w:pPr>
        <w:pStyle w:val="12"/>
        <w:jc w:val="center"/>
        <w:outlineLvl w:val="3"/>
      </w:pPr>
      <w:r>
        <w:rPr>
          <w:b/>
          <w:sz w:val="24"/>
        </w:rPr>
        <w:t>三-2-①中小企业声明函（价格扣除适用，若有）</w:t>
      </w:r>
    </w:p>
    <w:p>
      <w:pPr>
        <w:pStyle w:val="12"/>
        <w:jc w:val="center"/>
        <w:outlineLvl w:val="3"/>
      </w:pPr>
      <w:r>
        <w:rPr>
          <w:b/>
          <w:sz w:val="24"/>
        </w:rPr>
        <w:t>中小企业声明函（货物）</w:t>
      </w:r>
    </w:p>
    <w:p>
      <w:pPr>
        <w:pStyle w:val="12"/>
        <w:ind w:firstLine="480"/>
        <w:jc w:val="both"/>
      </w:pPr>
      <w:r>
        <w:t>本公司（联合体）郑重声明，根据《政府采购促进中小企业发展管理办法》（财库﹝2020﹞46</w:t>
      </w:r>
      <w:r>
        <w:tab/>
      </w:r>
      <w:r>
        <w:tab/>
      </w:r>
      <w:r>
        <w:tab/>
      </w:r>
      <w:r>
        <w:t xml:space="preserve"> 号）的规定，本公司（联合体）参加</w:t>
      </w:r>
      <w:r>
        <w:rPr>
          <w:u w:val="single"/>
        </w:rPr>
        <w:t>（单位名称）</w:t>
      </w:r>
      <w:r>
        <w:t>的</w:t>
      </w:r>
      <w:r>
        <w:rPr>
          <w:u w:val="single"/>
        </w:rPr>
        <w:t>（项目名称）</w:t>
      </w:r>
      <w:r>
        <w:t>采购活动，提供的货物全部由符合政策要求的中小企业制造。相关企业（含联合体中的中小企业、签订分包意向协议的中小企业）的具体情况如下：</w:t>
      </w:r>
    </w:p>
    <w:p>
      <w:pPr>
        <w:pStyle w:val="12"/>
        <w:ind w:firstLine="480"/>
        <w:jc w:val="both"/>
      </w:pPr>
      <w:r>
        <w:t>1.</w:t>
      </w:r>
      <w:r>
        <w:rPr>
          <w:u w:val="single"/>
        </w:rPr>
        <w:t>（标的名称）</w:t>
      </w:r>
      <w:r>
        <w:t>，属于</w:t>
      </w:r>
      <w:r>
        <w:rPr>
          <w:u w:val="single"/>
        </w:rPr>
        <w:t>（采购文件中明确的所属行业）</w:t>
      </w:r>
      <w:r>
        <w:t>行业；制造商为</w:t>
      </w:r>
      <w:r>
        <w:rPr>
          <w:u w:val="single"/>
        </w:rPr>
        <w:t>（企业名称）</w:t>
      </w:r>
      <w:r>
        <w:t>，从业人员</w:t>
      </w:r>
      <w:r>
        <w:rPr>
          <w:u w:val="single"/>
        </w:rPr>
        <w:t>　　　　　</w:t>
      </w:r>
      <w:r>
        <w:t>人，营业收入为</w:t>
      </w:r>
      <w:r>
        <w:rPr>
          <w:u w:val="single"/>
        </w:rPr>
        <w:t>　　　　　</w:t>
      </w:r>
      <w:r>
        <w:t>万元，资产总额为</w:t>
      </w:r>
      <w:r>
        <w:rPr>
          <w:u w:val="single"/>
        </w:rPr>
        <w:t>　　　　　</w:t>
      </w:r>
      <w:r>
        <w:t>万元</w:t>
      </w:r>
      <w:r>
        <w:rPr>
          <w:rFonts w:ascii="宋体" w:hAnsi="宋体" w:eastAsia="宋体" w:cs="宋体"/>
          <w:sz w:val="21"/>
          <w:vertAlign w:val="superscript"/>
        </w:rPr>
        <w:t>1</w:t>
      </w:r>
      <w:r>
        <w:t>，属于</w:t>
      </w:r>
      <w:r>
        <w:rPr>
          <w:u w:val="single"/>
        </w:rPr>
        <w:t>（中型企业、小型企业、微型企业）</w:t>
      </w:r>
      <w:r>
        <w:t>；</w:t>
      </w:r>
    </w:p>
    <w:p>
      <w:pPr>
        <w:pStyle w:val="12"/>
        <w:ind w:firstLine="480"/>
        <w:jc w:val="both"/>
      </w:pPr>
      <w:r>
        <w:t>2.</w:t>
      </w:r>
      <w:r>
        <w:rPr>
          <w:u w:val="single"/>
        </w:rPr>
        <w:t>（标的名称）</w:t>
      </w:r>
      <w:r>
        <w:t>，属于</w:t>
      </w:r>
      <w:r>
        <w:rPr>
          <w:u w:val="single"/>
        </w:rPr>
        <w:t>（采购文件中明确的所属行业）</w:t>
      </w:r>
      <w:r>
        <w:t>行业；制造商为</w:t>
      </w:r>
      <w:r>
        <w:rPr>
          <w:u w:val="single"/>
        </w:rPr>
        <w:t>（企业名称）</w:t>
      </w:r>
      <w:r>
        <w:t>，从业人员</w:t>
      </w:r>
      <w:r>
        <w:rPr>
          <w:u w:val="single"/>
        </w:rPr>
        <w:t>　　　　　</w:t>
      </w:r>
      <w:r>
        <w:t>人，营业收入为</w:t>
      </w:r>
      <w:r>
        <w:rPr>
          <w:u w:val="single"/>
        </w:rPr>
        <w:t>　　　　　</w:t>
      </w:r>
      <w:r>
        <w:t>万元，资产总额为</w:t>
      </w:r>
      <w:r>
        <w:rPr>
          <w:u w:val="single"/>
        </w:rPr>
        <w:t>　　　　　</w:t>
      </w:r>
      <w:r>
        <w:t>万元，属于</w:t>
      </w:r>
      <w:r>
        <w:rPr>
          <w:u w:val="single"/>
        </w:rPr>
        <w:t>（中型企业、小型企业、微型企业）</w:t>
      </w:r>
      <w:r>
        <w:t>；</w:t>
      </w:r>
    </w:p>
    <w:p>
      <w:pPr>
        <w:pStyle w:val="12"/>
        <w:ind w:firstLine="480"/>
        <w:jc w:val="both"/>
      </w:pPr>
      <w:r>
        <w:t>……</w:t>
      </w:r>
    </w:p>
    <w:p>
      <w:pPr>
        <w:pStyle w:val="12"/>
        <w:ind w:firstLine="480"/>
        <w:jc w:val="both"/>
      </w:pPr>
      <w:r>
        <w:t>以上企业，不属于大企业的分支机构，不存在控股股东为大企业的情形，也不存在与大企业的负责人为同一人的情形。</w:t>
      </w:r>
    </w:p>
    <w:p>
      <w:pPr>
        <w:pStyle w:val="12"/>
        <w:ind w:firstLine="480"/>
        <w:jc w:val="both"/>
      </w:pPr>
      <w:r>
        <w:t>本企业对上述声明内容的真实性负责。如有虚假，将依法承担相应责任。</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ind w:firstLine="480"/>
        <w:jc w:val="both"/>
      </w:pPr>
      <w:r>
        <w:t>※注意：</w:t>
      </w:r>
    </w:p>
    <w:p>
      <w:pPr>
        <w:pStyle w:val="12"/>
        <w:ind w:firstLine="480"/>
        <w:jc w:val="both"/>
      </w:pPr>
      <w:r>
        <w:t>1、从业人员、营业收入、资产总额填报上一年度数据，无上一年度数据的新成立企业可不填报。</w:t>
      </w:r>
    </w:p>
    <w:p>
      <w:pPr>
        <w:pStyle w:val="12"/>
        <w:ind w:firstLine="480"/>
        <w:jc w:val="both"/>
      </w:pPr>
      <w: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12"/>
        <w:ind w:firstLine="480"/>
        <w:jc w:val="both"/>
      </w:pPr>
      <w: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12"/>
        <w:jc w:val="both"/>
      </w:pPr>
      <w:r>
        <w:t xml:space="preserve"> </w:t>
      </w:r>
    </w:p>
    <w:p>
      <w:pPr>
        <w:pStyle w:val="12"/>
        <w:jc w:val="center"/>
        <w:outlineLvl w:val="3"/>
      </w:pPr>
      <w:r>
        <w:rPr>
          <w:b/>
          <w:sz w:val="24"/>
        </w:rPr>
        <w:t>中小企业声明函（工程、服务）</w:t>
      </w:r>
    </w:p>
    <w:p>
      <w:pPr>
        <w:pStyle w:val="12"/>
        <w:ind w:firstLine="480"/>
        <w:jc w:val="both"/>
      </w:pPr>
      <w:r>
        <w:t>本公司（联合体）郑重声明，根据《政府采购促进中小企业发展管理办法》（财库﹝2020﹞46</w:t>
      </w:r>
      <w:r>
        <w:tab/>
      </w:r>
      <w:r>
        <w:tab/>
      </w:r>
      <w:r>
        <w:tab/>
      </w:r>
      <w:r>
        <w:t xml:space="preserve"> 号）的规定，本公司（联合体）参加</w:t>
      </w:r>
      <w:r>
        <w:rPr>
          <w:u w:val="single"/>
        </w:rPr>
        <w:t>（单位名称）</w:t>
      </w:r>
      <w:r>
        <w:t>的</w:t>
      </w:r>
      <w:r>
        <w:rPr>
          <w:u w:val="single"/>
        </w:rPr>
        <w:t>（项目名称）</w:t>
      </w:r>
      <w:r>
        <w:t>采购活动，工程的施工单位全部为符合政策要求的中小企业（或者：服务全部由符合政策要求的中小企业承接）。相关企业（含联合体中的中小企业、签订分包意向协议的中小企业）的具体情况如下：</w:t>
      </w:r>
    </w:p>
    <w:p>
      <w:pPr>
        <w:pStyle w:val="12"/>
        <w:ind w:firstLine="480"/>
        <w:jc w:val="both"/>
      </w:pPr>
      <w:r>
        <w:t>1.</w:t>
      </w:r>
      <w:r>
        <w:rPr>
          <w:u w:val="single"/>
        </w:rPr>
        <w:t>（标的名称）</w:t>
      </w:r>
      <w:r>
        <w:t>，属于</w:t>
      </w:r>
      <w:r>
        <w:rPr>
          <w:u w:val="single"/>
        </w:rPr>
        <w:t>（采购文件中明确的所属行业）</w:t>
      </w:r>
      <w:r>
        <w:t>；承建（承接）企业为</w:t>
      </w:r>
      <w:r>
        <w:rPr>
          <w:u w:val="single"/>
        </w:rPr>
        <w:t>（企业名称）</w:t>
      </w:r>
      <w:r>
        <w:t>，从业人员</w:t>
      </w:r>
      <w:r>
        <w:rPr>
          <w:u w:val="single"/>
        </w:rPr>
        <w:t>　　　　　</w:t>
      </w:r>
      <w:r>
        <w:t>人，营业收入为</w:t>
      </w:r>
      <w:r>
        <w:rPr>
          <w:u w:val="single"/>
        </w:rPr>
        <w:t>　　　　　</w:t>
      </w:r>
      <w:r>
        <w:t>万元，资产总额为</w:t>
      </w:r>
      <w:r>
        <w:rPr>
          <w:u w:val="single"/>
        </w:rPr>
        <w:t>　　　　　</w:t>
      </w:r>
      <w:r>
        <w:t>万元</w:t>
      </w:r>
      <w:r>
        <w:rPr>
          <w:rFonts w:ascii="宋体" w:hAnsi="宋体" w:eastAsia="宋体" w:cs="宋体"/>
          <w:sz w:val="21"/>
          <w:vertAlign w:val="superscript"/>
        </w:rPr>
        <w:t>1</w:t>
      </w:r>
      <w:r>
        <w:t>，属于</w:t>
      </w:r>
      <w:r>
        <w:rPr>
          <w:u w:val="single"/>
        </w:rPr>
        <w:t>（中型企业、小型企业、微型企业）</w:t>
      </w:r>
      <w:r>
        <w:t>；</w:t>
      </w:r>
    </w:p>
    <w:p>
      <w:pPr>
        <w:pStyle w:val="12"/>
        <w:ind w:firstLine="480"/>
        <w:jc w:val="both"/>
      </w:pPr>
      <w:r>
        <w:t>2.</w:t>
      </w:r>
      <w:r>
        <w:rPr>
          <w:u w:val="single"/>
        </w:rPr>
        <w:t>（标的名称）</w:t>
      </w:r>
      <w:r>
        <w:t>，属于</w:t>
      </w:r>
      <w:r>
        <w:rPr>
          <w:u w:val="single"/>
        </w:rPr>
        <w:t>（采购文件中明确的所属行业）</w:t>
      </w:r>
      <w:r>
        <w:t>；承建（承接）企业为</w:t>
      </w:r>
      <w:r>
        <w:rPr>
          <w:u w:val="single"/>
        </w:rPr>
        <w:t>（企业名称）</w:t>
      </w:r>
      <w:r>
        <w:t>，从业人员</w:t>
      </w:r>
      <w:r>
        <w:rPr>
          <w:u w:val="single"/>
        </w:rPr>
        <w:t>　　　　　</w:t>
      </w:r>
      <w:r>
        <w:t>人，营业收入为</w:t>
      </w:r>
      <w:r>
        <w:rPr>
          <w:u w:val="single"/>
        </w:rPr>
        <w:t>　　　　　</w:t>
      </w:r>
      <w:r>
        <w:t>万元，资产总额为</w:t>
      </w:r>
      <w:r>
        <w:rPr>
          <w:u w:val="single"/>
        </w:rPr>
        <w:t>　　　　　</w:t>
      </w:r>
      <w:r>
        <w:t>万元，属于</w:t>
      </w:r>
      <w:r>
        <w:rPr>
          <w:u w:val="single"/>
        </w:rPr>
        <w:t>（中型企业、小型企业、微型企业）</w:t>
      </w:r>
      <w:r>
        <w:t>；</w:t>
      </w:r>
    </w:p>
    <w:p>
      <w:pPr>
        <w:pStyle w:val="12"/>
        <w:ind w:firstLine="480"/>
        <w:jc w:val="both"/>
      </w:pPr>
      <w:r>
        <w:t>……</w:t>
      </w:r>
    </w:p>
    <w:p>
      <w:pPr>
        <w:pStyle w:val="12"/>
        <w:ind w:firstLine="480"/>
        <w:jc w:val="both"/>
      </w:pPr>
      <w:r>
        <w:t>以上企业，不属于大企业的分支机构，不存在控股股东为大企业的情形，也不存在与大企业的负责人为同一人的情形。</w:t>
      </w:r>
    </w:p>
    <w:p>
      <w:pPr>
        <w:pStyle w:val="12"/>
        <w:ind w:firstLine="480"/>
        <w:jc w:val="both"/>
      </w:pPr>
      <w:r>
        <w:t>本企业对上述声明内容的真实性负责。如有虚假，将依法承担相应责任。</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ind w:firstLine="480"/>
        <w:jc w:val="both"/>
      </w:pPr>
      <w:r>
        <w:t>※注意：</w:t>
      </w:r>
    </w:p>
    <w:p>
      <w:pPr>
        <w:pStyle w:val="12"/>
        <w:ind w:firstLine="480"/>
        <w:jc w:val="both"/>
      </w:pPr>
      <w:r>
        <w:t>1、从业人员、营业收入、资产总额填报上一年度数据，无上一年度数据的新成立企业可不填报。</w:t>
      </w:r>
    </w:p>
    <w:p>
      <w:pPr>
        <w:pStyle w:val="12"/>
        <w:ind w:firstLine="480"/>
        <w:jc w:val="both"/>
      </w:pPr>
      <w: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12"/>
        <w:ind w:firstLine="480"/>
        <w:jc w:val="both"/>
      </w:pPr>
      <w: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12"/>
        <w:jc w:val="both"/>
      </w:pPr>
      <w:r>
        <w:t xml:space="preserve"> </w:t>
      </w:r>
    </w:p>
    <w:p>
      <w:pPr>
        <w:pStyle w:val="12"/>
        <w:jc w:val="center"/>
        <w:outlineLvl w:val="3"/>
      </w:pPr>
      <w:r>
        <w:rPr>
          <w:b/>
          <w:sz w:val="24"/>
        </w:rPr>
        <w:t>三-2-②小型、微型企业等证明材料（价格扣除适用，若有）</w:t>
      </w:r>
    </w:p>
    <w:p>
      <w:pPr>
        <w:pStyle w:val="12"/>
        <w:ind w:firstLine="480"/>
        <w:jc w:val="center"/>
      </w:pPr>
      <w:r>
        <w:t>编制说明</w:t>
      </w:r>
    </w:p>
    <w:p>
      <w:pPr>
        <w:pStyle w:val="12"/>
        <w:ind w:firstLine="480"/>
        <w:jc w:val="both"/>
      </w:pPr>
      <w:r>
        <w:t>1、投标人应按照招标文件要求提供相应证明材料，证明材料应与《中小企业声明函》的内容相一致，否则视为《中小企业声明函》内容不真实。</w:t>
      </w:r>
    </w:p>
    <w:p>
      <w:pPr>
        <w:pStyle w:val="12"/>
        <w:ind w:firstLine="480"/>
        <w:jc w:val="both"/>
      </w:pPr>
      <w:r>
        <w:t>2、投标人为监狱企业的，根据其提供的由省级以上监狱管理局、戒毒管理局（含新疆生产建设兵团）出具的属于监狱企业的证明文件进行认定，监狱企业视同小型、微型企业。</w:t>
      </w:r>
    </w:p>
    <w:p>
      <w:pPr>
        <w:pStyle w:val="12"/>
        <w:ind w:firstLine="480"/>
        <w:jc w:val="both"/>
      </w:pPr>
      <w:r>
        <w:t>3、投标人为残疾人福利性单位的，根据其提供的《残疾人福利性单位声明函》（格式附后）进行认定，残疾人福利性单位视同小型、微型企业。残疾人福利性单位属于小型、微型企业的，不重复享受政策。</w:t>
      </w:r>
    </w:p>
    <w:p>
      <w:pPr>
        <w:pStyle w:val="12"/>
        <w:ind w:firstLine="480"/>
        <w:jc w:val="both"/>
      </w:pPr>
      <w:r>
        <w:t>附：</w:t>
      </w:r>
    </w:p>
    <w:p>
      <w:pPr>
        <w:pStyle w:val="12"/>
        <w:jc w:val="center"/>
        <w:outlineLvl w:val="3"/>
      </w:pPr>
      <w:r>
        <w:rPr>
          <w:b/>
          <w:sz w:val="24"/>
        </w:rPr>
        <w:t>残疾人福利性单位声明函（价格扣除适用，若有）</w:t>
      </w:r>
    </w:p>
    <w:p>
      <w:pPr>
        <w:pStyle w:val="12"/>
        <w:ind w:firstLine="480"/>
        <w:jc w:val="both"/>
      </w:pPr>
      <w:r>
        <w:t>本投标人郑重声明，根据《财政部 民政部</w:t>
      </w:r>
      <w:r>
        <w:tab/>
      </w:r>
      <w:r>
        <w:tab/>
      </w:r>
      <w:r>
        <w:tab/>
      </w:r>
      <w:r>
        <w:t xml:space="preserve">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12"/>
        <w:ind w:firstLine="480"/>
        <w:jc w:val="both"/>
      </w:pPr>
      <w:r>
        <w:t>（</w:t>
      </w:r>
      <w:r>
        <w:tab/>
      </w:r>
      <w:r>
        <w:tab/>
      </w:r>
      <w:r>
        <w:tab/>
      </w:r>
      <w:r>
        <w:t xml:space="preserve">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pPr>
        <w:pStyle w:val="12"/>
        <w:ind w:firstLine="480"/>
        <w:jc w:val="both"/>
      </w:pPr>
      <w:r>
        <w:t>（ ）由本投标人承建的（填写“所投采购包、品目号”）工程</w:t>
      </w:r>
    </w:p>
    <w:p>
      <w:pPr>
        <w:pStyle w:val="12"/>
        <w:ind w:firstLine="480"/>
        <w:jc w:val="both"/>
      </w:pPr>
      <w:r>
        <w:t>（ ）由本投标人承接的（填写“所投采购包、品目号”）服务；</w:t>
      </w:r>
    </w:p>
    <w:p>
      <w:pPr>
        <w:pStyle w:val="12"/>
        <w:ind w:firstLine="480"/>
        <w:jc w:val="both"/>
      </w:pPr>
      <w:r>
        <w:t>本投标人对上述声明的真实性负责。如有虚假，将依法承担相应责任。</w:t>
      </w:r>
    </w:p>
    <w:p>
      <w:pPr>
        <w:pStyle w:val="12"/>
        <w:ind w:firstLine="480"/>
        <w:jc w:val="both"/>
      </w:pPr>
      <w:r>
        <w:t>备注：</w:t>
      </w:r>
    </w:p>
    <w:p>
      <w:pPr>
        <w:pStyle w:val="12"/>
        <w:ind w:firstLine="480"/>
        <w:jc w:val="both"/>
      </w:pPr>
      <w:r>
        <w:t>1、请投标人按照实际情况编制填写本声明函，并在相应的（）中打“√”。</w:t>
      </w:r>
    </w:p>
    <w:p>
      <w:pPr>
        <w:pStyle w:val="12"/>
        <w:ind w:firstLine="480"/>
        <w:jc w:val="both"/>
      </w:pPr>
      <w:r>
        <w:t>2、若《残疾人福利性单位声明函》内容不真实，视为提供虚假材料。</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jc w:val="both"/>
      </w:pPr>
      <w:r>
        <w:t xml:space="preserve"> </w:t>
      </w:r>
    </w:p>
    <w:p>
      <w:pPr>
        <w:pStyle w:val="12"/>
        <w:ind w:firstLine="480"/>
        <w:jc w:val="both"/>
      </w:pPr>
      <w:r>
        <w:t>附：</w:t>
      </w:r>
    </w:p>
    <w:p>
      <w:pPr>
        <w:pStyle w:val="12"/>
        <w:jc w:val="center"/>
        <w:outlineLvl w:val="3"/>
      </w:pPr>
      <w:r>
        <w:rPr>
          <w:b/>
          <w:sz w:val="24"/>
        </w:rPr>
        <w:t>监狱企业证明材料</w:t>
      </w:r>
    </w:p>
    <w:p>
      <w:pPr>
        <w:pStyle w:val="12"/>
        <w:ind w:firstLine="480"/>
        <w:jc w:val="both"/>
      </w:pPr>
      <w:r>
        <w:t>投标人为监狱企业，提供本单位制造的货物（承接的服务），并在电子投标文件中提供省级以上监狱管理局、戒毒管理局（含新疆生产建设兵团）出具的属于监狱企业的证明文件。</w:t>
      </w:r>
    </w:p>
    <w:p>
      <w:pPr>
        <w:pStyle w:val="12"/>
        <w:jc w:val="both"/>
      </w:pPr>
      <w:r>
        <w:t xml:space="preserve"> </w:t>
      </w:r>
    </w:p>
    <w:p>
      <w:pPr>
        <w:pStyle w:val="12"/>
        <w:jc w:val="center"/>
        <w:outlineLvl w:val="3"/>
      </w:pPr>
      <w:r>
        <w:rPr>
          <w:b/>
          <w:sz w:val="24"/>
        </w:rPr>
        <w:t>三-3招标文件规定的其他价格扣除证明材料（若有）</w:t>
      </w:r>
    </w:p>
    <w:p>
      <w:pPr>
        <w:pStyle w:val="12"/>
        <w:ind w:firstLine="480"/>
        <w:jc w:val="center"/>
      </w:pPr>
      <w:r>
        <w:t>编制说明</w:t>
      </w:r>
    </w:p>
    <w:p>
      <w:pPr>
        <w:pStyle w:val="12"/>
        <w:ind w:firstLine="480"/>
        <w:jc w:val="both"/>
      </w:pPr>
      <w:r>
        <w:t>若投标人可享受招标文件规定的除“节能（非强制类）、环境标志产品价格扣除”及“小型、微型企业产品等价格扣除”外的其他价格扣除优惠，则投标人应按照招标文件要求提供相应证明材料。</w:t>
      </w:r>
    </w:p>
    <w:p>
      <w:pPr>
        <w:pStyle w:val="12"/>
        <w:jc w:val="both"/>
      </w:pPr>
    </w:p>
    <w:p>
      <w:pPr>
        <w:pStyle w:val="12"/>
        <w:jc w:val="both"/>
      </w:pPr>
      <w:r>
        <w:t xml:space="preserve"> </w:t>
      </w:r>
    </w:p>
    <w:p>
      <w:pPr>
        <w:pStyle w:val="12"/>
        <w:jc w:val="center"/>
        <w:outlineLvl w:val="2"/>
      </w:pPr>
      <w:r>
        <w:rPr>
          <w:b/>
          <w:sz w:val="28"/>
        </w:rPr>
        <w:t>四、招标文件规定的加分证明材料（若有）</w:t>
      </w:r>
    </w:p>
    <w:p>
      <w:pPr>
        <w:pStyle w:val="12"/>
        <w:jc w:val="center"/>
        <w:outlineLvl w:val="3"/>
      </w:pPr>
      <w:r>
        <w:rPr>
          <w:b/>
          <w:sz w:val="24"/>
        </w:rPr>
        <w:t>四-1优先类节能产品、环境标志产品加分证明材料（若有）</w:t>
      </w:r>
    </w:p>
    <w:p>
      <w:pPr>
        <w:pStyle w:val="12"/>
        <w:jc w:val="center"/>
        <w:outlineLvl w:val="3"/>
      </w:pPr>
      <w:r>
        <w:rPr>
          <w:b/>
          <w:sz w:val="24"/>
        </w:rPr>
        <w:t>四-1-①优先类节能产品、环境标志产品统计表（加分适用，若有）</w:t>
      </w:r>
    </w:p>
    <w:p>
      <w:pPr>
        <w:pStyle w:val="12"/>
        <w:ind w:firstLine="480"/>
        <w:jc w:val="both"/>
      </w:pPr>
      <w:r>
        <w:t>项目编号：</w:t>
      </w:r>
      <w:r>
        <w:rPr>
          <w:u w:val="single"/>
        </w:rPr>
        <w:t>　　　　　　　　</w:t>
      </w:r>
    </w:p>
    <w:p>
      <w:pPr>
        <w:pStyle w:val="12"/>
        <w:ind w:firstLine="480"/>
        <w:jc w:val="right"/>
      </w:pPr>
      <w:r>
        <w:t>货币及单位：人民币元</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tc>
        <w:tc>
          <w:tcPr>
            <w:tcW w:w="7122" w:type="dxa"/>
            <w:gridSpan w:val="6"/>
          </w:tcPr>
          <w:p>
            <w:pPr>
              <w:pStyle w:val="12"/>
              <w:jc w:val="center"/>
            </w:pPr>
            <w:r>
              <w:t>本采购包内属于节能、环境标志产品的情况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12"/>
              <w:jc w:val="both"/>
            </w:pPr>
            <w:r>
              <w:t>采购包</w:t>
            </w:r>
          </w:p>
        </w:tc>
        <w:tc>
          <w:tcPr>
            <w:tcW w:w="1187" w:type="dxa"/>
          </w:tcPr>
          <w:p>
            <w:pPr>
              <w:pStyle w:val="12"/>
              <w:jc w:val="both"/>
            </w:pPr>
            <w:r>
              <w:t>品目号</w:t>
            </w:r>
          </w:p>
        </w:tc>
        <w:tc>
          <w:tcPr>
            <w:tcW w:w="1187" w:type="dxa"/>
          </w:tcPr>
          <w:p>
            <w:pPr>
              <w:pStyle w:val="12"/>
              <w:jc w:val="both"/>
            </w:pPr>
            <w:r>
              <w:t>货物名称</w:t>
            </w:r>
          </w:p>
        </w:tc>
        <w:tc>
          <w:tcPr>
            <w:tcW w:w="1187" w:type="dxa"/>
          </w:tcPr>
          <w:p>
            <w:pPr>
              <w:pStyle w:val="12"/>
              <w:jc w:val="both"/>
            </w:pPr>
            <w:r>
              <w:t>单价（现场）</w:t>
            </w:r>
          </w:p>
        </w:tc>
        <w:tc>
          <w:tcPr>
            <w:tcW w:w="1187" w:type="dxa"/>
          </w:tcPr>
          <w:p>
            <w:pPr>
              <w:pStyle w:val="12"/>
              <w:jc w:val="both"/>
            </w:pPr>
            <w:r>
              <w:t>数量</w:t>
            </w:r>
          </w:p>
        </w:tc>
        <w:tc>
          <w:tcPr>
            <w:tcW w:w="1187" w:type="dxa"/>
          </w:tcPr>
          <w:p>
            <w:pPr>
              <w:pStyle w:val="12"/>
              <w:jc w:val="both"/>
            </w:pPr>
            <w:r>
              <w:t>总价（现场）</w:t>
            </w:r>
          </w:p>
        </w:tc>
        <w:tc>
          <w:tcPr>
            <w:tcW w:w="1187" w:type="dxa"/>
          </w:tcPr>
          <w:p>
            <w:pPr>
              <w:pStyle w:val="12"/>
              <w:jc w:val="both"/>
            </w:pPr>
            <w:r>
              <w:t>认证种类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restart"/>
          </w:tcPr>
          <w:p>
            <w:pPr>
              <w:pStyle w:val="12"/>
              <w:jc w:val="both"/>
            </w:pPr>
            <w:r>
              <w:t>*</w:t>
            </w:r>
          </w:p>
        </w:tc>
        <w:tc>
          <w:tcPr>
            <w:tcW w:w="1187" w:type="dxa"/>
          </w:tcPr>
          <w:p>
            <w:pPr>
              <w:pStyle w:val="12"/>
              <w:jc w:val="both"/>
            </w:pPr>
            <w:r>
              <w:t>*-1</w:t>
            </w: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continue"/>
          </w:tcPr>
          <w:p/>
        </w:tc>
        <w:tc>
          <w:tcPr>
            <w:tcW w:w="1187" w:type="dxa"/>
          </w:tcPr>
          <w:p>
            <w:pPr>
              <w:pStyle w:val="12"/>
              <w:jc w:val="both"/>
            </w:pPr>
            <w:r>
              <w:t>…</w:t>
            </w:r>
          </w:p>
        </w:tc>
        <w:tc>
          <w:tcPr>
            <w:tcW w:w="1187" w:type="dxa"/>
          </w:tcPr>
          <w:p/>
        </w:tc>
        <w:tc>
          <w:tcPr>
            <w:tcW w:w="1187" w:type="dxa"/>
          </w:tcPr>
          <w:p/>
        </w:tc>
        <w:tc>
          <w:tcPr>
            <w:tcW w:w="1187" w:type="dxa"/>
          </w:tcPr>
          <w:p/>
        </w:tc>
        <w:tc>
          <w:tcPr>
            <w:tcW w:w="1187" w:type="dxa"/>
          </w:tcPr>
          <w:p/>
        </w:tc>
        <w:tc>
          <w:tcPr>
            <w:tcW w:w="1187" w:type="dxa"/>
          </w:tcPr>
          <w:p/>
        </w:tc>
      </w:tr>
    </w:tbl>
    <w:p>
      <w:pPr>
        <w:pStyle w:val="12"/>
        <w:ind w:firstLine="480"/>
        <w:jc w:val="both"/>
      </w:pPr>
      <w:r>
        <w:t>※注意：</w:t>
      </w:r>
    </w:p>
    <w:p>
      <w:pPr>
        <w:pStyle w:val="12"/>
        <w:ind w:firstLine="480"/>
        <w:jc w:val="both"/>
      </w:pPr>
      <w:r>
        <w:t>1、对节能、环境标志产品计算价格扣除时，只依据电子投标文件“四-1-②优先类节能产品、环境标志产品加分证明材料（加分适用，若有）”。</w:t>
      </w:r>
    </w:p>
    <w:p>
      <w:pPr>
        <w:pStyle w:val="12"/>
        <w:ind w:firstLine="480"/>
        <w:jc w:val="both"/>
      </w:pPr>
      <w:r>
        <w:t>2、本表以采购包为单位，不同采购包请分别填写；同一采购包请按照其品目号顺序分别填写。</w:t>
      </w:r>
    </w:p>
    <w:p>
      <w:pPr>
        <w:pStyle w:val="12"/>
        <w:ind w:firstLine="480"/>
        <w:jc w:val="both"/>
      </w:pPr>
      <w:r>
        <w:t>3、具体统计、计算：</w:t>
      </w:r>
    </w:p>
    <w:p>
      <w:pPr>
        <w:pStyle w:val="12"/>
        <w:ind w:firstLine="480"/>
        <w:jc w:val="both"/>
      </w:pPr>
      <w:r>
        <w:t>3.1若节能、环境标志产品仅是构成投标产品的部件、组件或零件，则该投标产品不享受鼓励优惠政策。同一品目中各认证证书不重复计算价格扣除。强制类节能产品不享受价格扣除。</w:t>
      </w:r>
    </w:p>
    <w:p>
      <w:pPr>
        <w:pStyle w:val="12"/>
        <w:ind w:firstLine="480"/>
        <w:jc w:val="both"/>
      </w:pPr>
      <w:r>
        <w:t>3.2计算结果若除不尽，可四舍五入保留到小数点后两位。</w:t>
      </w:r>
    </w:p>
    <w:p>
      <w:pPr>
        <w:pStyle w:val="12"/>
        <w:ind w:firstLine="480"/>
        <w:jc w:val="both"/>
      </w:pPr>
      <w:r>
        <w:t>3.3投标人应按照招标文件要求认真统计、计算，否则评标委员会不予认定。</w:t>
      </w:r>
    </w:p>
    <w:p>
      <w:pPr>
        <w:pStyle w:val="12"/>
        <w:ind w:firstLine="480"/>
        <w:jc w:val="both"/>
      </w:pPr>
      <w:r>
        <w:t>3.4若无节能、环境标志产品，不填写本表，否则，视为提供虚假材料。</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jc w:val="both"/>
      </w:pPr>
      <w:r>
        <w:t xml:space="preserve"> </w:t>
      </w:r>
    </w:p>
    <w:p>
      <w:pPr>
        <w:pStyle w:val="12"/>
        <w:jc w:val="center"/>
        <w:outlineLvl w:val="3"/>
      </w:pPr>
      <w:r>
        <w:rPr>
          <w:b/>
          <w:sz w:val="24"/>
        </w:rPr>
        <w:t>四-1-②优先类节能产品、环境标志产品证明材料（加分适用，若有）</w:t>
      </w:r>
    </w:p>
    <w:p>
      <w:pPr>
        <w:pStyle w:val="12"/>
        <w:jc w:val="center"/>
        <w:outlineLvl w:val="3"/>
      </w:pPr>
      <w:r>
        <w:rPr>
          <w:b/>
          <w:sz w:val="24"/>
        </w:rPr>
        <w:t>四-2招标文件规定的其他加分证明材料（若有）</w:t>
      </w:r>
    </w:p>
    <w:p>
      <w:pPr>
        <w:pStyle w:val="12"/>
        <w:ind w:firstLine="480"/>
        <w:jc w:val="center"/>
      </w:pPr>
      <w:r>
        <w:t>编制说明</w:t>
      </w:r>
    </w:p>
    <w:p>
      <w:pPr>
        <w:pStyle w:val="12"/>
        <w:ind w:firstLine="480"/>
        <w:jc w:val="both"/>
      </w:pPr>
      <w:r>
        <w:t>若投标人可享受招标文件规定的除“优先类节能产品、环境标志产品加分”外的其他加分优惠，则投标人应按照招标文件要求提供相应证明材料。</w:t>
      </w:r>
    </w:p>
    <w:p>
      <w:pPr>
        <w:pStyle w:val="12"/>
        <w:jc w:val="both"/>
      </w:pPr>
    </w:p>
    <w:p>
      <w:pPr>
        <w:pStyle w:val="12"/>
        <w:jc w:val="both"/>
      </w:pPr>
      <w:r>
        <w:t xml:space="preserve"> </w:t>
      </w:r>
    </w:p>
    <w:p>
      <w:pPr>
        <w:pStyle w:val="12"/>
        <w:jc w:val="center"/>
        <w:outlineLvl w:val="2"/>
      </w:pPr>
      <w:r>
        <w:rPr>
          <w:b/>
          <w:sz w:val="28"/>
        </w:rPr>
        <w:t>封面格式(技术商务部分)</w:t>
      </w:r>
    </w:p>
    <w:p>
      <w:pPr>
        <w:pStyle w:val="12"/>
        <w:jc w:val="center"/>
        <w:outlineLvl w:val="0"/>
      </w:pPr>
      <w:r>
        <w:rPr>
          <w:b/>
          <w:sz w:val="48"/>
        </w:rPr>
        <w:t>福建省政府采购投标文件</w:t>
      </w:r>
    </w:p>
    <w:p>
      <w:pPr>
        <w:pStyle w:val="12"/>
        <w:jc w:val="center"/>
        <w:outlineLvl w:val="0"/>
      </w:pPr>
      <w:r>
        <w:rPr>
          <w:b/>
          <w:sz w:val="48"/>
        </w:rPr>
        <w:t>（技术商务部分）</w:t>
      </w:r>
      <w:r>
        <w:br w:type="textWrapping"/>
      </w:r>
      <w:r>
        <w:br w:type="textWrapping"/>
      </w:r>
      <w:r>
        <w:br w:type="textWrapping"/>
      </w:r>
    </w:p>
    <w:p>
      <w:pPr>
        <w:pStyle w:val="12"/>
        <w:jc w:val="center"/>
        <w:outlineLvl w:val="1"/>
      </w:pPr>
      <w:r>
        <w:rPr>
          <w:b/>
          <w:sz w:val="36"/>
        </w:rPr>
        <w:t>（填写正本或副本）</w:t>
      </w:r>
      <w:r>
        <w:br w:type="textWrapping"/>
      </w:r>
      <w:r>
        <w:br w:type="textWrapping"/>
      </w:r>
      <w:r>
        <w:br w:type="textWrapping"/>
      </w:r>
      <w:r>
        <w:br w:type="textWrapping"/>
      </w:r>
      <w:r>
        <w:br w:type="textWrapping"/>
      </w:r>
    </w:p>
    <w:p>
      <w:pPr>
        <w:pStyle w:val="12"/>
        <w:jc w:val="center"/>
        <w:outlineLvl w:val="2"/>
      </w:pPr>
      <w:r>
        <w:rPr>
          <w:b/>
          <w:sz w:val="28"/>
        </w:rPr>
        <w:t>（项目名称：（由投标人填写）</w:t>
      </w:r>
    </w:p>
    <w:p>
      <w:pPr>
        <w:pStyle w:val="12"/>
        <w:jc w:val="center"/>
        <w:outlineLvl w:val="2"/>
      </w:pPr>
      <w:r>
        <w:rPr>
          <w:b/>
          <w:sz w:val="28"/>
        </w:rPr>
        <w:t>（备案编号：（由投标人填写）</w:t>
      </w:r>
    </w:p>
    <w:p>
      <w:pPr>
        <w:pStyle w:val="12"/>
        <w:jc w:val="center"/>
        <w:outlineLvl w:val="2"/>
      </w:pPr>
      <w:r>
        <w:rPr>
          <w:b/>
          <w:sz w:val="28"/>
        </w:rPr>
        <w:t>（项目编号：（由投标人填写）</w:t>
      </w:r>
    </w:p>
    <w:p>
      <w:pPr>
        <w:pStyle w:val="12"/>
        <w:jc w:val="center"/>
        <w:outlineLvl w:val="2"/>
      </w:pPr>
      <w:r>
        <w:rPr>
          <w:b/>
          <w:sz w:val="28"/>
        </w:rPr>
        <w:t>（所投采购包：（由投标人填写）</w:t>
      </w:r>
      <w:r>
        <w:br w:type="textWrapping"/>
      </w:r>
      <w:r>
        <w:br w:type="textWrapping"/>
      </w:r>
    </w:p>
    <w:p>
      <w:pPr>
        <w:pStyle w:val="12"/>
        <w:jc w:val="center"/>
        <w:outlineLvl w:val="2"/>
      </w:pPr>
      <w:r>
        <w:rPr>
          <w:b/>
          <w:sz w:val="28"/>
        </w:rPr>
        <w:t>投标人：（填写“全称”）</w:t>
      </w:r>
    </w:p>
    <w:p>
      <w:pPr>
        <w:pStyle w:val="12"/>
        <w:jc w:val="center"/>
        <w:outlineLvl w:val="2"/>
      </w:pPr>
      <w:r>
        <w:rPr>
          <w:b/>
          <w:sz w:val="28"/>
        </w:rPr>
        <w:t>（由投标人填写）年（由投标人填写）月</w:t>
      </w:r>
    </w:p>
    <w:p>
      <w:pPr>
        <w:pStyle w:val="12"/>
        <w:jc w:val="both"/>
      </w:pPr>
    </w:p>
    <w:p>
      <w:pPr>
        <w:pStyle w:val="12"/>
        <w:jc w:val="both"/>
      </w:pPr>
      <w:r>
        <w:t xml:space="preserve"> </w:t>
      </w:r>
    </w:p>
    <w:p>
      <w:pPr>
        <w:pStyle w:val="12"/>
        <w:jc w:val="center"/>
        <w:outlineLvl w:val="2"/>
      </w:pPr>
      <w:r>
        <w:rPr>
          <w:b/>
          <w:sz w:val="28"/>
        </w:rPr>
        <w:t>索引</w:t>
      </w:r>
    </w:p>
    <w:p>
      <w:pPr>
        <w:pStyle w:val="12"/>
        <w:ind w:firstLine="480"/>
        <w:jc w:val="both"/>
      </w:pPr>
      <w:r>
        <w:t>一、标的说明一览表</w:t>
      </w:r>
    </w:p>
    <w:p>
      <w:pPr>
        <w:pStyle w:val="12"/>
        <w:ind w:firstLine="480"/>
        <w:jc w:val="both"/>
      </w:pPr>
      <w:r>
        <w:t>二、技术和服务要求响应表</w:t>
      </w:r>
    </w:p>
    <w:p>
      <w:pPr>
        <w:pStyle w:val="12"/>
        <w:ind w:firstLine="480"/>
        <w:jc w:val="both"/>
      </w:pPr>
      <w:r>
        <w:t>三、商务条件响应表</w:t>
      </w:r>
    </w:p>
    <w:p>
      <w:pPr>
        <w:pStyle w:val="12"/>
        <w:ind w:firstLine="480"/>
        <w:jc w:val="both"/>
      </w:pPr>
      <w:r>
        <w:t>四、投标人提交的其他资料（若有）</w:t>
      </w:r>
    </w:p>
    <w:p>
      <w:pPr>
        <w:pStyle w:val="12"/>
        <w:ind w:firstLine="480"/>
        <w:jc w:val="both"/>
      </w:pPr>
      <w:r>
        <w:t>※注意</w:t>
      </w:r>
    </w:p>
    <w:p>
      <w:pPr>
        <w:pStyle w:val="12"/>
        <w:ind w:firstLine="480"/>
        <w:jc w:val="both"/>
      </w:pPr>
      <w:r>
        <w:t>技术商务部分中不得出现报价部分的全部或部分的投标报价信息（或组成资料），否则符合性审查不合格。</w:t>
      </w:r>
    </w:p>
    <w:p>
      <w:pPr>
        <w:pStyle w:val="12"/>
        <w:jc w:val="both"/>
      </w:pPr>
    </w:p>
    <w:p>
      <w:pPr>
        <w:pStyle w:val="12"/>
        <w:jc w:val="both"/>
      </w:pPr>
      <w:r>
        <w:t xml:space="preserve"> </w:t>
      </w:r>
    </w:p>
    <w:p>
      <w:pPr>
        <w:pStyle w:val="12"/>
        <w:jc w:val="center"/>
        <w:outlineLvl w:val="2"/>
      </w:pPr>
      <w:r>
        <w:rPr>
          <w:b/>
          <w:sz w:val="28"/>
        </w:rPr>
        <w:t>一、标的说明一览表</w:t>
      </w:r>
    </w:p>
    <w:p>
      <w:pPr>
        <w:pStyle w:val="12"/>
        <w:ind w:firstLine="480"/>
        <w:jc w:val="both"/>
      </w:pPr>
      <w:r>
        <w:t>项目编号：</w:t>
      </w:r>
      <w:r>
        <w:rPr>
          <w:u w:val="single"/>
        </w:rPr>
        <w:t>　　　　　　　　</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84"/>
        <w:gridCol w:w="1384"/>
        <w:gridCol w:w="1384"/>
        <w:gridCol w:w="1384"/>
        <w:gridCol w:w="1384"/>
        <w:gridCol w:w="138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pPr>
              <w:pStyle w:val="12"/>
              <w:jc w:val="both"/>
            </w:pPr>
            <w:r>
              <w:t>采购包</w:t>
            </w:r>
          </w:p>
        </w:tc>
        <w:tc>
          <w:tcPr>
            <w:tcW w:w="1384" w:type="dxa"/>
          </w:tcPr>
          <w:p>
            <w:pPr>
              <w:pStyle w:val="12"/>
              <w:jc w:val="both"/>
            </w:pPr>
            <w:r>
              <w:t>品目号</w:t>
            </w:r>
          </w:p>
        </w:tc>
        <w:tc>
          <w:tcPr>
            <w:tcW w:w="1384" w:type="dxa"/>
          </w:tcPr>
          <w:p>
            <w:pPr>
              <w:pStyle w:val="12"/>
              <w:jc w:val="both"/>
            </w:pPr>
            <w:r>
              <w:t>投标标的</w:t>
            </w:r>
          </w:p>
        </w:tc>
        <w:tc>
          <w:tcPr>
            <w:tcW w:w="1384" w:type="dxa"/>
          </w:tcPr>
          <w:p>
            <w:pPr>
              <w:pStyle w:val="12"/>
              <w:jc w:val="both"/>
            </w:pPr>
            <w:r>
              <w:t>规格</w:t>
            </w:r>
          </w:p>
        </w:tc>
        <w:tc>
          <w:tcPr>
            <w:tcW w:w="1384" w:type="dxa"/>
          </w:tcPr>
          <w:p>
            <w:pPr>
              <w:pStyle w:val="12"/>
              <w:jc w:val="both"/>
            </w:pPr>
            <w:r>
              <w:t>来源地</w:t>
            </w:r>
          </w:p>
        </w:tc>
        <w:tc>
          <w:tcPr>
            <w:tcW w:w="1384" w:type="dxa"/>
          </w:tcPr>
          <w:p>
            <w:pPr>
              <w:pStyle w:val="12"/>
              <w:jc w:val="both"/>
            </w:pPr>
            <w: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Merge w:val="restart"/>
          </w:tcPr>
          <w:p>
            <w:pPr>
              <w:pStyle w:val="12"/>
              <w:jc w:val="both"/>
            </w:pPr>
            <w:r>
              <w:t>*</w:t>
            </w:r>
          </w:p>
        </w:tc>
        <w:tc>
          <w:tcPr>
            <w:tcW w:w="1384" w:type="dxa"/>
          </w:tcPr>
          <w:p>
            <w:pPr>
              <w:pStyle w:val="12"/>
              <w:jc w:val="both"/>
            </w:pPr>
            <w:r>
              <w:t>*-1</w:t>
            </w:r>
          </w:p>
        </w:tc>
        <w:tc>
          <w:tcPr>
            <w:tcW w:w="1384" w:type="dxa"/>
          </w:tcPr>
          <w:p/>
        </w:tc>
        <w:tc>
          <w:tcPr>
            <w:tcW w:w="1384" w:type="dxa"/>
          </w:tcPr>
          <w:p/>
        </w:tc>
        <w:tc>
          <w:tcPr>
            <w:tcW w:w="1384" w:type="dxa"/>
          </w:tcPr>
          <w:p/>
        </w:tc>
        <w:tc>
          <w:tcPr>
            <w:tcW w:w="1384"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Merge w:val="continue"/>
          </w:tcPr>
          <w:p/>
        </w:tc>
        <w:tc>
          <w:tcPr>
            <w:tcW w:w="1384" w:type="dxa"/>
          </w:tcPr>
          <w:p>
            <w:pPr>
              <w:pStyle w:val="12"/>
              <w:jc w:val="both"/>
            </w:pPr>
            <w:r>
              <w:t>…</w:t>
            </w:r>
          </w:p>
        </w:tc>
        <w:tc>
          <w:tcPr>
            <w:tcW w:w="1384" w:type="dxa"/>
          </w:tcPr>
          <w:p/>
        </w:tc>
        <w:tc>
          <w:tcPr>
            <w:tcW w:w="1384" w:type="dxa"/>
          </w:tcPr>
          <w:p/>
        </w:tc>
        <w:tc>
          <w:tcPr>
            <w:tcW w:w="1384" w:type="dxa"/>
          </w:tcPr>
          <w:p/>
        </w:tc>
        <w:tc>
          <w:tcPr>
            <w:tcW w:w="1384"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pPr>
              <w:pStyle w:val="12"/>
              <w:jc w:val="both"/>
            </w:pPr>
            <w:r>
              <w:t>…</w:t>
            </w:r>
          </w:p>
        </w:tc>
        <w:tc>
          <w:tcPr>
            <w:tcW w:w="1384" w:type="dxa"/>
          </w:tcPr>
          <w:p/>
        </w:tc>
        <w:tc>
          <w:tcPr>
            <w:tcW w:w="1384" w:type="dxa"/>
          </w:tcPr>
          <w:p/>
        </w:tc>
        <w:tc>
          <w:tcPr>
            <w:tcW w:w="1384" w:type="dxa"/>
          </w:tcPr>
          <w:p/>
        </w:tc>
        <w:tc>
          <w:tcPr>
            <w:tcW w:w="1384" w:type="dxa"/>
          </w:tcPr>
          <w:p/>
        </w:tc>
        <w:tc>
          <w:tcPr>
            <w:tcW w:w="1384" w:type="dxa"/>
          </w:tcPr>
          <w:p/>
        </w:tc>
      </w:tr>
    </w:tbl>
    <w:p>
      <w:pPr>
        <w:pStyle w:val="12"/>
        <w:ind w:firstLine="480"/>
        <w:jc w:val="both"/>
      </w:pPr>
      <w:r>
        <w:t>※注意：</w:t>
      </w:r>
    </w:p>
    <w:p>
      <w:pPr>
        <w:pStyle w:val="12"/>
        <w:ind w:firstLine="480"/>
        <w:jc w:val="both"/>
      </w:pPr>
      <w:r>
        <w:t>1、本表应按照下列规定填写：</w:t>
      </w:r>
    </w:p>
    <w:p>
      <w:pPr>
        <w:pStyle w:val="12"/>
        <w:ind w:firstLine="480"/>
        <w:jc w:val="both"/>
      </w:pPr>
      <w:r>
        <w:t>1.1“采购包”、“品目号”、“投标标的”及“数量”应与招标文件《采购标的一览表》中的有关内容（“采购包”、“品目号”、“采购标的”及“数量”）保持一致。</w:t>
      </w:r>
    </w:p>
    <w:p>
      <w:pPr>
        <w:pStyle w:val="12"/>
        <w:ind w:firstLine="480"/>
        <w:jc w:val="both"/>
      </w:pPr>
      <w: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12"/>
        <w:ind w:firstLine="480"/>
        <w:jc w:val="both"/>
      </w:pPr>
      <w:r>
        <w:t>1.3“投标标的”为服务的：“规格”项下应填写服务提供者提供的服务标准及品牌（若有）。“来源地”应填写服务提供者的所在地。“备注”项下应填写关于服务标准所涵盖的具体项目或内容的说明等。</w:t>
      </w:r>
    </w:p>
    <w:p>
      <w:pPr>
        <w:pStyle w:val="12"/>
        <w:ind w:firstLine="480"/>
        <w:jc w:val="both"/>
      </w:pPr>
      <w:r>
        <w:t>2、投标人需要说明的内容若需特殊表达，应先在本表中进行相应说明，再另页应答，但应做好标注说明，方便评委查阅评审。未标注说明可能导致的不利的评审后果由投标人自行承担。</w:t>
      </w:r>
    </w:p>
    <w:p>
      <w:pPr>
        <w:pStyle w:val="12"/>
        <w:ind w:firstLine="480"/>
        <w:jc w:val="both"/>
      </w:pPr>
      <w:r>
        <w:t>3、电子投标文件中涉及“投标标的”、“数量”、“规格”、“来源地”的内容若不一致，应以本表为准。</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jc w:val="both"/>
      </w:pPr>
    </w:p>
    <w:p>
      <w:pPr>
        <w:pStyle w:val="12"/>
        <w:jc w:val="both"/>
      </w:pPr>
      <w:r>
        <w:t xml:space="preserve"> </w:t>
      </w:r>
    </w:p>
    <w:p>
      <w:pPr>
        <w:pStyle w:val="12"/>
        <w:jc w:val="center"/>
        <w:outlineLvl w:val="2"/>
      </w:pPr>
      <w:r>
        <w:rPr>
          <w:b/>
          <w:sz w:val="28"/>
        </w:rPr>
        <w:t>二、技术和服务要求响应表</w:t>
      </w:r>
    </w:p>
    <w:p>
      <w:pPr>
        <w:pStyle w:val="12"/>
        <w:ind w:firstLine="480"/>
        <w:jc w:val="both"/>
      </w:pPr>
      <w:r>
        <w:t>项目编号：</w:t>
      </w:r>
      <w:r>
        <w:rPr>
          <w:u w:val="single"/>
        </w:rPr>
        <w:t>　　　　　　　　</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12"/>
              <w:jc w:val="both"/>
            </w:pPr>
            <w:r>
              <w:t>采购包</w:t>
            </w:r>
          </w:p>
        </w:tc>
        <w:tc>
          <w:tcPr>
            <w:tcW w:w="1661" w:type="dxa"/>
          </w:tcPr>
          <w:p>
            <w:pPr>
              <w:pStyle w:val="12"/>
              <w:jc w:val="both"/>
            </w:pPr>
            <w:r>
              <w:t>品目号</w:t>
            </w:r>
          </w:p>
        </w:tc>
        <w:tc>
          <w:tcPr>
            <w:tcW w:w="1661" w:type="dxa"/>
          </w:tcPr>
          <w:p>
            <w:pPr>
              <w:pStyle w:val="12"/>
              <w:jc w:val="both"/>
            </w:pPr>
            <w:r>
              <w:t>技术和服务要求</w:t>
            </w:r>
          </w:p>
        </w:tc>
        <w:tc>
          <w:tcPr>
            <w:tcW w:w="1661" w:type="dxa"/>
          </w:tcPr>
          <w:p>
            <w:pPr>
              <w:pStyle w:val="12"/>
              <w:jc w:val="both"/>
            </w:pPr>
            <w:r>
              <w:t>投标响应</w:t>
            </w:r>
          </w:p>
        </w:tc>
        <w:tc>
          <w:tcPr>
            <w:tcW w:w="1661" w:type="dxa"/>
          </w:tcPr>
          <w:p>
            <w:pPr>
              <w:pStyle w:val="12"/>
              <w:jc w:val="both"/>
            </w:pPr>
            <w:r>
              <w:t>是否偏离及说明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pPr>
              <w:pStyle w:val="12"/>
              <w:jc w:val="both"/>
            </w:pPr>
            <w:r>
              <w:t>*</w:t>
            </w:r>
          </w:p>
        </w:tc>
        <w:tc>
          <w:tcPr>
            <w:tcW w:w="1661" w:type="dxa"/>
          </w:tcPr>
          <w:p>
            <w:pPr>
              <w:pStyle w:val="12"/>
              <w:jc w:val="both"/>
            </w:pPr>
            <w:r>
              <w:t>*-1</w:t>
            </w:r>
          </w:p>
        </w:tc>
        <w:tc>
          <w:tcPr>
            <w:tcW w:w="1661" w:type="dxa"/>
          </w:tcPr>
          <w:p/>
        </w:tc>
        <w:tc>
          <w:tcPr>
            <w:tcW w:w="1661" w:type="dxa"/>
          </w:tcPr>
          <w:p/>
        </w:tc>
        <w:tc>
          <w:tcPr>
            <w:tcW w:w="1661"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tc>
        <w:tc>
          <w:tcPr>
            <w:tcW w:w="1661" w:type="dxa"/>
          </w:tcPr>
          <w:p>
            <w:pPr>
              <w:pStyle w:val="12"/>
              <w:jc w:val="both"/>
            </w:pPr>
            <w:r>
              <w:t>…</w:t>
            </w:r>
          </w:p>
        </w:tc>
        <w:tc>
          <w:tcPr>
            <w:tcW w:w="1661" w:type="dxa"/>
          </w:tcPr>
          <w:p/>
        </w:tc>
        <w:tc>
          <w:tcPr>
            <w:tcW w:w="1661" w:type="dxa"/>
          </w:tcPr>
          <w:p/>
        </w:tc>
        <w:tc>
          <w:tcPr>
            <w:tcW w:w="1661"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12"/>
              <w:jc w:val="both"/>
            </w:pPr>
            <w:r>
              <w:t>…</w:t>
            </w:r>
          </w:p>
        </w:tc>
        <w:tc>
          <w:tcPr>
            <w:tcW w:w="1661" w:type="dxa"/>
          </w:tcPr>
          <w:p/>
        </w:tc>
        <w:tc>
          <w:tcPr>
            <w:tcW w:w="1661" w:type="dxa"/>
          </w:tcPr>
          <w:p/>
        </w:tc>
        <w:tc>
          <w:tcPr>
            <w:tcW w:w="1661" w:type="dxa"/>
          </w:tcPr>
          <w:p/>
        </w:tc>
        <w:tc>
          <w:tcPr>
            <w:tcW w:w="1661" w:type="dxa"/>
          </w:tcPr>
          <w:p/>
        </w:tc>
      </w:tr>
    </w:tbl>
    <w:p>
      <w:pPr>
        <w:pStyle w:val="12"/>
        <w:ind w:firstLine="480"/>
        <w:jc w:val="both"/>
      </w:pPr>
      <w:r>
        <w:t>※注意：</w:t>
      </w:r>
    </w:p>
    <w:p>
      <w:pPr>
        <w:pStyle w:val="12"/>
        <w:ind w:firstLine="480"/>
        <w:jc w:val="both"/>
      </w:pPr>
      <w:r>
        <w:t>1、本表应按照下列规定填写：</w:t>
      </w:r>
    </w:p>
    <w:p>
      <w:pPr>
        <w:pStyle w:val="12"/>
        <w:ind w:firstLine="480"/>
        <w:jc w:val="both"/>
      </w:pPr>
      <w:r>
        <w:t>1.1“技术和服务要求”项下填写的内容应与招标文件第五章“技术和服务要求”的内容保持一致。</w:t>
      </w:r>
    </w:p>
    <w:p>
      <w:pPr>
        <w:pStyle w:val="12"/>
        <w:ind w:firstLine="480"/>
        <w:jc w:val="both"/>
      </w:pPr>
      <w: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pPr>
        <w:pStyle w:val="12"/>
        <w:ind w:firstLine="480"/>
        <w:jc w:val="both"/>
      </w:pPr>
      <w:r>
        <w:t>1.3“是否偏离及说明”项下应按下列规定填写：优于的，填写“正偏离”；符合的，填写“无偏离”；低于的，填写“负偏离”。</w:t>
      </w:r>
    </w:p>
    <w:p>
      <w:pPr>
        <w:pStyle w:val="12"/>
        <w:ind w:firstLine="480"/>
        <w:jc w:val="both"/>
      </w:pPr>
      <w:r>
        <w:t>2、投标人需要说明的内容若需特殊表达，应先在本表中进行相应说明，再另页应答，但应做好标注说明，方便评委查阅评审。未标注说明可能导致的不利的评审后果由投标人自行承担。</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jc w:val="both"/>
      </w:pPr>
    </w:p>
    <w:p>
      <w:pPr>
        <w:pStyle w:val="12"/>
        <w:jc w:val="both"/>
      </w:pPr>
      <w:r>
        <w:t xml:space="preserve"> </w:t>
      </w:r>
    </w:p>
    <w:p>
      <w:pPr>
        <w:pStyle w:val="12"/>
        <w:jc w:val="center"/>
        <w:outlineLvl w:val="2"/>
      </w:pPr>
      <w:r>
        <w:rPr>
          <w:b/>
          <w:sz w:val="28"/>
        </w:rPr>
        <w:t>三、商务条件响应表</w:t>
      </w:r>
    </w:p>
    <w:p>
      <w:pPr>
        <w:pStyle w:val="12"/>
        <w:ind w:firstLine="480"/>
        <w:jc w:val="both"/>
      </w:pPr>
      <w:r>
        <w:t>项目编号：</w:t>
      </w:r>
      <w:r>
        <w:rPr>
          <w:u w:val="single"/>
        </w:rPr>
        <w:t>　　　　　　　　</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12"/>
              <w:jc w:val="both"/>
            </w:pPr>
            <w:r>
              <w:t>采购包</w:t>
            </w:r>
          </w:p>
        </w:tc>
        <w:tc>
          <w:tcPr>
            <w:tcW w:w="1661" w:type="dxa"/>
          </w:tcPr>
          <w:p>
            <w:pPr>
              <w:pStyle w:val="12"/>
              <w:jc w:val="both"/>
            </w:pPr>
            <w:r>
              <w:t>品目号</w:t>
            </w:r>
          </w:p>
        </w:tc>
        <w:tc>
          <w:tcPr>
            <w:tcW w:w="1661" w:type="dxa"/>
          </w:tcPr>
          <w:p>
            <w:pPr>
              <w:pStyle w:val="12"/>
              <w:jc w:val="both"/>
            </w:pPr>
            <w:r>
              <w:t>商务条件</w:t>
            </w:r>
          </w:p>
        </w:tc>
        <w:tc>
          <w:tcPr>
            <w:tcW w:w="1661" w:type="dxa"/>
          </w:tcPr>
          <w:p>
            <w:pPr>
              <w:pStyle w:val="12"/>
              <w:jc w:val="both"/>
            </w:pPr>
            <w:r>
              <w:t>投标响应</w:t>
            </w:r>
          </w:p>
        </w:tc>
        <w:tc>
          <w:tcPr>
            <w:tcW w:w="1661" w:type="dxa"/>
          </w:tcPr>
          <w:p>
            <w:pPr>
              <w:pStyle w:val="12"/>
              <w:jc w:val="both"/>
            </w:pPr>
            <w:r>
              <w:t>是否偏离及说明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pPr>
              <w:pStyle w:val="12"/>
              <w:jc w:val="both"/>
            </w:pPr>
            <w:r>
              <w:t>*</w:t>
            </w:r>
          </w:p>
        </w:tc>
        <w:tc>
          <w:tcPr>
            <w:tcW w:w="1661" w:type="dxa"/>
          </w:tcPr>
          <w:p>
            <w:pPr>
              <w:pStyle w:val="12"/>
              <w:jc w:val="both"/>
            </w:pPr>
            <w:r>
              <w:t>*-1</w:t>
            </w:r>
          </w:p>
        </w:tc>
        <w:tc>
          <w:tcPr>
            <w:tcW w:w="1661" w:type="dxa"/>
          </w:tcPr>
          <w:p/>
        </w:tc>
        <w:tc>
          <w:tcPr>
            <w:tcW w:w="1661" w:type="dxa"/>
          </w:tcPr>
          <w:p/>
        </w:tc>
        <w:tc>
          <w:tcPr>
            <w:tcW w:w="1661"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tc>
        <w:tc>
          <w:tcPr>
            <w:tcW w:w="1661" w:type="dxa"/>
          </w:tcPr>
          <w:p>
            <w:pPr>
              <w:pStyle w:val="12"/>
              <w:jc w:val="both"/>
            </w:pPr>
            <w:r>
              <w:t>…</w:t>
            </w:r>
          </w:p>
        </w:tc>
        <w:tc>
          <w:tcPr>
            <w:tcW w:w="1661" w:type="dxa"/>
          </w:tcPr>
          <w:p/>
        </w:tc>
        <w:tc>
          <w:tcPr>
            <w:tcW w:w="1661" w:type="dxa"/>
          </w:tcPr>
          <w:p/>
        </w:tc>
        <w:tc>
          <w:tcPr>
            <w:tcW w:w="1661"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12"/>
              <w:jc w:val="both"/>
            </w:pPr>
            <w:r>
              <w:t>…</w:t>
            </w:r>
          </w:p>
        </w:tc>
        <w:tc>
          <w:tcPr>
            <w:tcW w:w="1661" w:type="dxa"/>
          </w:tcPr>
          <w:p/>
        </w:tc>
        <w:tc>
          <w:tcPr>
            <w:tcW w:w="1661" w:type="dxa"/>
          </w:tcPr>
          <w:p/>
        </w:tc>
        <w:tc>
          <w:tcPr>
            <w:tcW w:w="1661" w:type="dxa"/>
          </w:tcPr>
          <w:p/>
        </w:tc>
        <w:tc>
          <w:tcPr>
            <w:tcW w:w="1661" w:type="dxa"/>
          </w:tcPr>
          <w:p/>
        </w:tc>
      </w:tr>
    </w:tbl>
    <w:p>
      <w:pPr>
        <w:pStyle w:val="12"/>
        <w:ind w:firstLine="480"/>
        <w:jc w:val="both"/>
      </w:pPr>
      <w:r>
        <w:t>※注意：</w:t>
      </w:r>
    </w:p>
    <w:p>
      <w:pPr>
        <w:pStyle w:val="12"/>
        <w:ind w:firstLine="480"/>
        <w:jc w:val="both"/>
      </w:pPr>
      <w:r>
        <w:t>1、本表应按照下列规定填写：</w:t>
      </w:r>
    </w:p>
    <w:p>
      <w:pPr>
        <w:pStyle w:val="12"/>
        <w:ind w:firstLine="480"/>
        <w:jc w:val="both"/>
      </w:pPr>
      <w:r>
        <w:t>1.1“商务条件”项下填写的内容应与招标文件第五章“商务条件”的内容保持一致。</w:t>
      </w:r>
    </w:p>
    <w:p>
      <w:pPr>
        <w:pStyle w:val="12"/>
        <w:ind w:firstLine="480"/>
        <w:jc w:val="both"/>
      </w:pPr>
      <w:r>
        <w:t>1.2“投标响应”项下应填写具体的响应内容并与“商务条件”项下填写的内容逐项对应；对“商务条件”项下涉及“≥或＞”、“≤或＜”及某个区间值范围内的内容，应填写具体的数值。</w:t>
      </w:r>
    </w:p>
    <w:p>
      <w:pPr>
        <w:pStyle w:val="12"/>
        <w:ind w:firstLine="480"/>
        <w:jc w:val="both"/>
      </w:pPr>
      <w:r>
        <w:t>1.3“是否偏离及说明”项下应按下列规定填写：优于的，填写“正偏离”；符合的，填写“无偏离”；低于的，填写“负偏离”。</w:t>
      </w:r>
    </w:p>
    <w:p>
      <w:pPr>
        <w:pStyle w:val="12"/>
        <w:ind w:firstLine="480"/>
        <w:jc w:val="both"/>
      </w:pPr>
      <w:r>
        <w:t>2、投标人需要说明的内容若需特殊表达，应先在本表中进行相应说明，再另页应答，但应做好标注说明，方便评委查阅评审。未标注说明可能导致的不利的评审后果由投标人自行承担。</w:t>
      </w:r>
    </w:p>
    <w:p>
      <w:pPr>
        <w:pStyle w:val="12"/>
        <w:ind w:firstLine="480"/>
        <w:jc w:val="right"/>
      </w:pPr>
      <w:r>
        <w:t>投标人：</w:t>
      </w:r>
      <w:r>
        <w:rPr>
          <w:u w:val="single"/>
        </w:rPr>
        <w:t>（全称并加盖单位公章）</w:t>
      </w:r>
    </w:p>
    <w:p>
      <w:pPr>
        <w:pStyle w:val="12"/>
        <w:ind w:firstLine="480"/>
        <w:jc w:val="right"/>
      </w:pPr>
      <w:r>
        <w:t>日期：</w:t>
      </w:r>
      <w:r>
        <w:rPr>
          <w:u w:val="single"/>
        </w:rPr>
        <w:t>　　年　　月　　日</w:t>
      </w:r>
    </w:p>
    <w:p>
      <w:pPr>
        <w:pStyle w:val="12"/>
        <w:jc w:val="both"/>
      </w:pPr>
    </w:p>
    <w:p>
      <w:pPr>
        <w:pStyle w:val="12"/>
        <w:jc w:val="both"/>
      </w:pPr>
      <w:r>
        <w:t xml:space="preserve"> </w:t>
      </w:r>
    </w:p>
    <w:p>
      <w:pPr>
        <w:pStyle w:val="12"/>
        <w:jc w:val="center"/>
        <w:outlineLvl w:val="2"/>
      </w:pPr>
      <w:r>
        <w:rPr>
          <w:b/>
          <w:sz w:val="28"/>
        </w:rPr>
        <w:t>四、投标人提交的其他资料（若有）</w:t>
      </w:r>
    </w:p>
    <w:p>
      <w:pPr>
        <w:pStyle w:val="12"/>
        <w:ind w:firstLine="480"/>
        <w:jc w:val="center"/>
      </w:pPr>
      <w:r>
        <w:t>编制说明</w:t>
      </w:r>
    </w:p>
    <w:p>
      <w:pPr>
        <w:pStyle w:val="12"/>
        <w:ind w:firstLine="480"/>
        <w:jc w:val="both"/>
      </w:pPr>
      <w:r>
        <w:t>1、招标文件要求提交的除“资格及资信证明部分”、“报价部分”外的其他证明材料或资料加盖投标人的单位公章后应在此项下提交。</w:t>
      </w:r>
    </w:p>
    <w:p>
      <w:pPr>
        <w:pStyle w:val="12"/>
        <w:ind w:firstLine="480"/>
        <w:jc w:val="both"/>
      </w:pPr>
      <w:r>
        <w:t>2、招标文件要求投标人提供方案（包括但不限于：组织、实施、技术、服务方案等）的，投标人应在此项下提交。</w:t>
      </w:r>
    </w:p>
    <w:p>
      <w:pPr>
        <w:pStyle w:val="12"/>
        <w:ind w:firstLine="480"/>
        <w:jc w:val="both"/>
      </w:pPr>
      <w:r>
        <w:t>3、除招标文件另有规定外，投标人认为需要提交的其他证明材料或资料加盖投标人的单位公章后应在此项下提交。</w:t>
      </w:r>
    </w:p>
    <w:p>
      <w:pPr>
        <w:pStyle w:val="12"/>
        <w:rPr>
          <w:rFonts w:hint="eastAsia"/>
          <w:lang w:val="en-US" w:eastAsia="zh-Hans"/>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73BC2F"/>
    <w:multiLevelType w:val="singleLevel"/>
    <w:tmpl w:val="C873BC2F"/>
    <w:lvl w:ilvl="0" w:tentative="0">
      <w:start w:val="1"/>
      <w:numFmt w:val="decimal"/>
      <w:suff w:val="nothing"/>
      <w:lvlText w:val="（%1）"/>
      <w:lvlJc w:val="left"/>
    </w:lvl>
  </w:abstractNum>
  <w:abstractNum w:abstractNumId="1">
    <w:nsid w:val="08AA59D9"/>
    <w:multiLevelType w:val="singleLevel"/>
    <w:tmpl w:val="08AA59D9"/>
    <w:lvl w:ilvl="0" w:tentative="0">
      <w:start w:val="5"/>
      <w:numFmt w:val="decimal"/>
      <w:suff w:val="nothing"/>
      <w:lvlText w:val="（%1）"/>
      <w:lvlJc w:val="left"/>
    </w:lvl>
  </w:abstractNum>
  <w:abstractNum w:abstractNumId="2">
    <w:nsid w:val="162EEC95"/>
    <w:multiLevelType w:val="singleLevel"/>
    <w:tmpl w:val="162EEC95"/>
    <w:lvl w:ilvl="0" w:tentative="0">
      <w:start w:val="3"/>
      <w:numFmt w:val="decimal"/>
      <w:suff w:val="nothing"/>
      <w:lvlText w:val="（%1）"/>
      <w:lvlJc w:val="left"/>
    </w:lvl>
  </w:abstractNum>
  <w:abstractNum w:abstractNumId="3">
    <w:nsid w:val="4E43BC8B"/>
    <w:multiLevelType w:val="singleLevel"/>
    <w:tmpl w:val="4E43BC8B"/>
    <w:lvl w:ilvl="0" w:tentative="0">
      <w:start w:val="3"/>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0YTFmZThlYTRlMzRhYzg5NzYwYTVlN2JkZWU5ODUifQ=="/>
  </w:docVars>
  <w:rsids>
    <w:rsidRoot w:val="6E913E36"/>
    <w:rsid w:val="0E0921D8"/>
    <w:rsid w:val="1E8E736E"/>
    <w:rsid w:val="2D5F1AAF"/>
    <w:rsid w:val="42176DFB"/>
    <w:rsid w:val="490D706B"/>
    <w:rsid w:val="4B6E6F7B"/>
    <w:rsid w:val="517B5C63"/>
    <w:rsid w:val="56207980"/>
    <w:rsid w:val="58F26ED5"/>
    <w:rsid w:val="6E913E36"/>
    <w:rsid w:val="6F1B58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Plain Text"/>
    <w:basedOn w:val="1"/>
    <w:autoRedefine/>
    <w:qFormat/>
    <w:uiPriority w:val="99"/>
    <w:rPr>
      <w:rFonts w:ascii="宋体" w:hAnsi="Courier New"/>
    </w:rPr>
  </w:style>
  <w:style w:type="paragraph" w:styleId="4">
    <w:name w:val="annotation text"/>
    <w:basedOn w:val="1"/>
    <w:autoRedefine/>
    <w:qFormat/>
    <w:uiPriority w:val="0"/>
    <w:pPr>
      <w:jc w:val="left"/>
    </w:pPr>
  </w:style>
  <w:style w:type="paragraph" w:styleId="5">
    <w:name w:val="Body Text"/>
    <w:basedOn w:val="1"/>
    <w:next w:val="1"/>
    <w:autoRedefine/>
    <w:qFormat/>
    <w:uiPriority w:val="0"/>
    <w:rPr>
      <w:kern w:val="0"/>
      <w:sz w:val="20"/>
      <w:shd w:val="pct10" w:color="auto" w:fill="FFFFFF"/>
    </w:rPr>
  </w:style>
  <w:style w:type="paragraph" w:styleId="6">
    <w:name w:val="Normal (Web)"/>
    <w:basedOn w:val="1"/>
    <w:next w:val="7"/>
    <w:autoRedefine/>
    <w:qFormat/>
    <w:uiPriority w:val="0"/>
    <w:pPr>
      <w:spacing w:beforeAutospacing="1" w:afterAutospacing="1"/>
      <w:jc w:val="left"/>
    </w:pPr>
    <w:rPr>
      <w:rFonts w:cs="Times New Roman"/>
      <w:kern w:val="0"/>
      <w:sz w:val="24"/>
    </w:rPr>
  </w:style>
  <w:style w:type="paragraph" w:customStyle="1" w:styleId="7">
    <w:name w:val="样式 标题 3 + (中文) 黑体 小四 非加粗 段前: 7.8 磅 段后: 0 磅 行距: 固定值 20 磅"/>
    <w:basedOn w:val="3"/>
    <w:autoRedefine/>
    <w:qFormat/>
    <w:uiPriority w:val="0"/>
    <w:pPr>
      <w:spacing w:before="0" w:after="0" w:line="400" w:lineRule="exact"/>
    </w:pPr>
    <w:rPr>
      <w:rFonts w:ascii="Times New Roman" w:hAnsi="Times New Roman" w:eastAsia="宋体" w:cs="宋体"/>
      <w:sz w:val="24"/>
      <w:szCs w:val="20"/>
    </w:rPr>
  </w:style>
  <w:style w:type="paragraph" w:styleId="8">
    <w:name w:val="Body Text First Indent"/>
    <w:basedOn w:val="5"/>
    <w:autoRedefine/>
    <w:qFormat/>
    <w:uiPriority w:val="0"/>
    <w:pPr>
      <w:spacing w:after="120"/>
      <w:ind w:firstLine="420" w:firstLineChars="100"/>
    </w:pPr>
    <w:rPr>
      <w:sz w:val="28"/>
    </w:rPr>
  </w:style>
  <w:style w:type="character" w:styleId="11">
    <w:name w:val="Strong"/>
    <w:basedOn w:val="10"/>
    <w:autoRedefine/>
    <w:qFormat/>
    <w:uiPriority w:val="0"/>
    <w:rPr>
      <w:b/>
    </w:rPr>
  </w:style>
  <w:style w:type="paragraph" w:customStyle="1" w:styleId="12">
    <w:name w:val="null3"/>
    <w:autoRedefine/>
    <w:hidden/>
    <w:qFormat/>
    <w:uiPriority w:val="0"/>
    <w:rPr>
      <w:rFonts w:hint="eastAsia" w:asciiTheme="minorHAnsi" w:hAnsiTheme="minorHAnsi" w:eastAsiaTheme="minorEastAsia" w:cstheme="minorBidi"/>
      <w:lang w:val="en-US" w:eastAsia="zh-Hans"/>
    </w:rPr>
  </w:style>
  <w:style w:type="paragraph" w:customStyle="1" w:styleId="13">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14">
    <w:name w:val="Default"/>
    <w:autoRedefine/>
    <w:qFormat/>
    <w:uiPriority w:val="0"/>
    <w:pPr>
      <w:widowControl w:val="0"/>
      <w:autoSpaceDE w:val="0"/>
      <w:autoSpaceDN w:val="0"/>
      <w:adjustRightInd w:val="0"/>
    </w:pPr>
    <w:rPr>
      <w:rFonts w:ascii="宋体" w:hAnsi="Times New Roman" w:eastAsia="宋体" w:cs="Times New Roman"/>
      <w:color w:val="000000"/>
      <w:kern w:val="2"/>
      <w:sz w:val="24"/>
      <w:szCs w:val="24"/>
      <w:lang w:val="en-US" w:eastAsia="zh-CN" w:bidi="ar-SA"/>
    </w:rPr>
  </w:style>
  <w:style w:type="character" w:customStyle="1" w:styleId="15">
    <w:name w:val="font11"/>
    <w:basedOn w:val="10"/>
    <w:autoRedefine/>
    <w:qFormat/>
    <w:uiPriority w:val="0"/>
    <w:rPr>
      <w:rFonts w:hint="eastAsia" w:ascii="宋体" w:hAnsi="宋体" w:eastAsia="宋体" w:cs="宋体"/>
      <w:color w:val="000000"/>
      <w:sz w:val="20"/>
      <w:szCs w:val="20"/>
      <w:u w:val="none"/>
    </w:rPr>
  </w:style>
  <w:style w:type="character" w:customStyle="1" w:styleId="16">
    <w:name w:val="font21"/>
    <w:basedOn w:val="10"/>
    <w:autoRedefine/>
    <w:qFormat/>
    <w:uiPriority w:val="0"/>
    <w:rPr>
      <w:rFonts w:hint="eastAsia" w:ascii="宋体" w:hAnsi="宋体" w:eastAsia="宋体" w:cs="宋体"/>
      <w:color w:val="000000"/>
      <w:sz w:val="18"/>
      <w:szCs w:val="18"/>
      <w:u w:val="none"/>
    </w:rPr>
  </w:style>
  <w:style w:type="character" w:customStyle="1" w:styleId="17">
    <w:name w:val="font41"/>
    <w:basedOn w:val="10"/>
    <w:autoRedefine/>
    <w:qFormat/>
    <w:uiPriority w:val="0"/>
    <w:rPr>
      <w:rFonts w:hint="default" w:ascii="Times New Roman" w:hAnsi="Times New Roman" w:cs="Times New Roman"/>
      <w:color w:val="000000"/>
      <w:sz w:val="14"/>
      <w:szCs w:val="14"/>
      <w:u w:val="none"/>
    </w:rPr>
  </w:style>
  <w:style w:type="character" w:customStyle="1" w:styleId="18">
    <w:name w:val="font31"/>
    <w:basedOn w:val="10"/>
    <w:autoRedefine/>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2023-11-30T01:03:00Z</dcterms:created>
  <dc:creator>用户7637755108</dc:creator>
  <cp:lastModifiedBy>用户7637755108</cp:lastModifiedBy>
  <cp:lastPrinted>2023-12-19T01:16:00Z</cp:lastPrinted>
  <dcterms:modified xsi:type="dcterms:W3CDTF">2023-12-27T08:48:39Z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E0DF207DCD4E4021BD5EEC3813676A2D_11</vt:lpwstr>
  </property>
</Properties>
</file>